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AB2DA" w14:textId="77777777" w:rsidR="00C96874" w:rsidRDefault="00C96874" w:rsidP="002F4E72">
      <w:pPr>
        <w:spacing w:before="185"/>
        <w:ind w:left="1389" w:hanging="1389"/>
        <w:jc w:val="center"/>
        <w:rPr>
          <w:rFonts w:ascii="Trebuchet MS"/>
          <w:b/>
          <w:sz w:val="64"/>
        </w:rPr>
      </w:pPr>
      <w:r>
        <w:rPr>
          <w:rFonts w:ascii="Trebuchet MS"/>
          <w:b/>
          <w:sz w:val="64"/>
        </w:rPr>
        <w:t>Kaduna</w:t>
      </w:r>
      <w:r>
        <w:rPr>
          <w:rFonts w:ascii="Trebuchet MS"/>
          <w:b/>
          <w:spacing w:val="-112"/>
          <w:sz w:val="64"/>
        </w:rPr>
        <w:t xml:space="preserve"> </w:t>
      </w:r>
      <w:r>
        <w:rPr>
          <w:rFonts w:ascii="Trebuchet MS"/>
          <w:b/>
          <w:sz w:val="64"/>
        </w:rPr>
        <w:t>State</w:t>
      </w:r>
      <w:r>
        <w:rPr>
          <w:rFonts w:ascii="Trebuchet MS"/>
          <w:b/>
          <w:spacing w:val="-113"/>
          <w:sz w:val="64"/>
        </w:rPr>
        <w:t xml:space="preserve"> </w:t>
      </w:r>
      <w:r>
        <w:rPr>
          <w:rFonts w:ascii="Trebuchet MS"/>
          <w:b/>
          <w:sz w:val="64"/>
        </w:rPr>
        <w:t>Government</w:t>
      </w:r>
    </w:p>
    <w:p w14:paraId="36AC22BF" w14:textId="77777777" w:rsidR="00C96874" w:rsidRDefault="00C96874" w:rsidP="00C96874">
      <w:pPr>
        <w:pStyle w:val="BodyText"/>
        <w:rPr>
          <w:rFonts w:ascii="Trebuchet MS"/>
          <w:b/>
        </w:rPr>
      </w:pPr>
    </w:p>
    <w:p w14:paraId="04BDD328" w14:textId="77777777" w:rsidR="00C96874" w:rsidRDefault="00C96874" w:rsidP="00C96874">
      <w:pPr>
        <w:pStyle w:val="BodyText"/>
        <w:rPr>
          <w:rFonts w:ascii="Trebuchet MS"/>
          <w:b/>
        </w:rPr>
      </w:pPr>
    </w:p>
    <w:p w14:paraId="015A49E0" w14:textId="77777777" w:rsidR="00C96874" w:rsidRDefault="00C96874" w:rsidP="00C96874">
      <w:pPr>
        <w:pStyle w:val="BodyText"/>
        <w:rPr>
          <w:rFonts w:ascii="Trebuchet MS"/>
          <w:b/>
        </w:rPr>
      </w:pPr>
    </w:p>
    <w:p w14:paraId="7FD0CD85" w14:textId="77777777" w:rsidR="00C96874" w:rsidRPr="00C117E3" w:rsidRDefault="00C96874" w:rsidP="00C96874">
      <w:pPr>
        <w:pStyle w:val="BodyText"/>
        <w:spacing w:before="3"/>
        <w:rPr>
          <w:rFonts w:ascii="Trebuchet MS"/>
          <w:b/>
          <w:sz w:val="22"/>
          <w:lang w:val="en-US"/>
        </w:rPr>
      </w:pPr>
      <w:r>
        <w:rPr>
          <w:noProof/>
          <w:lang w:val="en-US" w:eastAsia="en-US" w:bidi="ar-SA"/>
        </w:rPr>
        <w:drawing>
          <wp:anchor distT="0" distB="0" distL="0" distR="0" simplePos="0" relativeHeight="251659264" behindDoc="1" locked="0" layoutInCell="1" allowOverlap="1" wp14:anchorId="48106A6A" wp14:editId="38CF3E33">
            <wp:simplePos x="0" y="0"/>
            <wp:positionH relativeFrom="page">
              <wp:posOffset>3074035</wp:posOffset>
            </wp:positionH>
            <wp:positionV relativeFrom="paragraph">
              <wp:posOffset>189230</wp:posOffset>
            </wp:positionV>
            <wp:extent cx="1402715" cy="1384300"/>
            <wp:effectExtent l="0" t="0" r="6985" b="6350"/>
            <wp:wrapTopAndBottom/>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2715" cy="1384300"/>
                    </a:xfrm>
                    <a:prstGeom prst="rect">
                      <a:avLst/>
                    </a:prstGeom>
                    <a:noFill/>
                  </pic:spPr>
                </pic:pic>
              </a:graphicData>
            </a:graphic>
            <wp14:sizeRelH relativeFrom="page">
              <wp14:pctWidth>0</wp14:pctWidth>
            </wp14:sizeRelH>
            <wp14:sizeRelV relativeFrom="page">
              <wp14:pctHeight>0</wp14:pctHeight>
            </wp14:sizeRelV>
          </wp:anchor>
        </w:drawing>
      </w:r>
    </w:p>
    <w:p w14:paraId="08695B89" w14:textId="77777777" w:rsidR="00C96874" w:rsidRDefault="00C96874" w:rsidP="00C96874">
      <w:pPr>
        <w:pStyle w:val="BodyText"/>
        <w:rPr>
          <w:rFonts w:ascii="Trebuchet MS"/>
          <w:b/>
        </w:rPr>
      </w:pPr>
    </w:p>
    <w:p w14:paraId="4CE94B4B" w14:textId="77777777" w:rsidR="00C96874" w:rsidRDefault="00C96874" w:rsidP="00C96874">
      <w:pPr>
        <w:pStyle w:val="BodyText"/>
        <w:rPr>
          <w:rFonts w:ascii="Trebuchet MS"/>
          <w:b/>
        </w:rPr>
      </w:pPr>
    </w:p>
    <w:p w14:paraId="2CFA62C0" w14:textId="77777777" w:rsidR="00C96874" w:rsidRDefault="00C96874" w:rsidP="00C96874">
      <w:pPr>
        <w:pStyle w:val="BodyText"/>
        <w:rPr>
          <w:rFonts w:ascii="Trebuchet MS"/>
          <w:b/>
        </w:rPr>
      </w:pPr>
    </w:p>
    <w:p w14:paraId="1CAB25CF" w14:textId="77777777" w:rsidR="00C96874" w:rsidRDefault="00C96874" w:rsidP="00C96874">
      <w:pPr>
        <w:pStyle w:val="BodyText"/>
        <w:spacing w:before="5"/>
        <w:rPr>
          <w:rFonts w:ascii="Trebuchet MS"/>
          <w:b/>
          <w:sz w:val="21"/>
        </w:rPr>
      </w:pPr>
    </w:p>
    <w:p w14:paraId="6CD649AB" w14:textId="0E7AF7DF" w:rsidR="00C96874" w:rsidRDefault="002B4D48" w:rsidP="00C96874">
      <w:pPr>
        <w:spacing w:before="5" w:line="451" w:lineRule="auto"/>
        <w:ind w:left="873" w:right="772"/>
        <w:jc w:val="center"/>
        <w:rPr>
          <w:rFonts w:ascii="Trebuchet MS"/>
          <w:b/>
          <w:sz w:val="50"/>
        </w:rPr>
      </w:pPr>
      <w:r>
        <w:rPr>
          <w:rFonts w:ascii="Trebuchet MS"/>
          <w:b/>
          <w:w w:val="90"/>
          <w:sz w:val="50"/>
        </w:rPr>
        <w:t>Medium-Term</w:t>
      </w:r>
      <w:r w:rsidR="00C96874">
        <w:rPr>
          <w:rFonts w:ascii="Trebuchet MS"/>
          <w:b/>
          <w:w w:val="90"/>
          <w:sz w:val="50"/>
        </w:rPr>
        <w:t xml:space="preserve"> Expenditure</w:t>
      </w:r>
      <w:r w:rsidR="00C96874">
        <w:rPr>
          <w:rFonts w:ascii="Trebuchet MS"/>
          <w:b/>
          <w:spacing w:val="-72"/>
          <w:w w:val="90"/>
          <w:sz w:val="50"/>
        </w:rPr>
        <w:t xml:space="preserve"> </w:t>
      </w:r>
      <w:r w:rsidR="00C96874">
        <w:rPr>
          <w:rFonts w:ascii="Trebuchet MS"/>
          <w:b/>
          <w:w w:val="90"/>
          <w:sz w:val="50"/>
        </w:rPr>
        <w:t xml:space="preserve">Framework </w:t>
      </w:r>
      <w:r w:rsidR="00C96874">
        <w:rPr>
          <w:rFonts w:ascii="Trebuchet MS"/>
          <w:b/>
          <w:sz w:val="50"/>
        </w:rPr>
        <w:t>202</w:t>
      </w:r>
      <w:r w:rsidR="00E01C3C">
        <w:rPr>
          <w:rFonts w:ascii="Trebuchet MS"/>
          <w:b/>
          <w:sz w:val="50"/>
        </w:rPr>
        <w:t>4</w:t>
      </w:r>
      <w:r w:rsidR="00C96874">
        <w:rPr>
          <w:rFonts w:ascii="Trebuchet MS"/>
          <w:b/>
          <w:sz w:val="50"/>
        </w:rPr>
        <w:t>-202</w:t>
      </w:r>
      <w:r w:rsidR="00E01C3C">
        <w:rPr>
          <w:rFonts w:ascii="Trebuchet MS"/>
          <w:b/>
          <w:sz w:val="50"/>
        </w:rPr>
        <w:t>6</w:t>
      </w:r>
    </w:p>
    <w:p w14:paraId="73D50C4B" w14:textId="77777777" w:rsidR="00C96874" w:rsidRDefault="00C96874" w:rsidP="00C96874">
      <w:pPr>
        <w:pStyle w:val="BodyText"/>
        <w:rPr>
          <w:rFonts w:ascii="Trebuchet MS"/>
          <w:b/>
          <w:sz w:val="50"/>
        </w:rPr>
      </w:pPr>
    </w:p>
    <w:p w14:paraId="4F459E18" w14:textId="77777777" w:rsidR="00C96874" w:rsidRDefault="00C96874" w:rsidP="00C96874">
      <w:pPr>
        <w:pStyle w:val="BodyText"/>
        <w:rPr>
          <w:rFonts w:ascii="Trebuchet MS"/>
          <w:b/>
          <w:sz w:val="50"/>
        </w:rPr>
      </w:pPr>
    </w:p>
    <w:p w14:paraId="3CCEDA82" w14:textId="77777777" w:rsidR="00C96874" w:rsidRDefault="00C96874" w:rsidP="00C96874">
      <w:pPr>
        <w:pStyle w:val="BodyText"/>
        <w:rPr>
          <w:rFonts w:ascii="Trebuchet MS"/>
          <w:b/>
          <w:sz w:val="50"/>
        </w:rPr>
      </w:pPr>
    </w:p>
    <w:p w14:paraId="66A17442" w14:textId="77777777" w:rsidR="00C96874" w:rsidRDefault="00C96874" w:rsidP="00C96874">
      <w:pPr>
        <w:pStyle w:val="BodyText"/>
        <w:rPr>
          <w:rFonts w:ascii="Trebuchet MS"/>
          <w:b/>
          <w:sz w:val="50"/>
        </w:rPr>
      </w:pPr>
    </w:p>
    <w:p w14:paraId="5AF5E94F" w14:textId="77777777" w:rsidR="00C96874" w:rsidRDefault="00C96874" w:rsidP="00C96874">
      <w:pPr>
        <w:pStyle w:val="BodyText"/>
        <w:rPr>
          <w:rFonts w:ascii="Trebuchet MS"/>
          <w:b/>
          <w:sz w:val="50"/>
        </w:rPr>
      </w:pPr>
    </w:p>
    <w:p w14:paraId="270453AB" w14:textId="77777777" w:rsidR="00C96874" w:rsidRDefault="00C96874" w:rsidP="00C96874">
      <w:pPr>
        <w:pStyle w:val="BodyText"/>
        <w:rPr>
          <w:rFonts w:ascii="Trebuchet MS"/>
          <w:b/>
          <w:sz w:val="50"/>
        </w:rPr>
      </w:pPr>
    </w:p>
    <w:p w14:paraId="6C0A8409" w14:textId="77777777" w:rsidR="00C96874" w:rsidRDefault="00C96874" w:rsidP="00C96874">
      <w:pPr>
        <w:pStyle w:val="BodyText"/>
        <w:rPr>
          <w:rFonts w:ascii="Trebuchet MS"/>
          <w:b/>
          <w:sz w:val="50"/>
        </w:rPr>
      </w:pPr>
    </w:p>
    <w:p w14:paraId="6A7840F5" w14:textId="77777777" w:rsidR="00C96874" w:rsidRDefault="00C96874" w:rsidP="00C96874">
      <w:pPr>
        <w:pStyle w:val="BodyText"/>
        <w:rPr>
          <w:rFonts w:ascii="Trebuchet MS"/>
          <w:b/>
          <w:sz w:val="50"/>
        </w:rPr>
      </w:pPr>
    </w:p>
    <w:p w14:paraId="2260E23A" w14:textId="77777777" w:rsidR="00C96874" w:rsidRDefault="00C96874" w:rsidP="00C96874">
      <w:pPr>
        <w:pStyle w:val="BodyText"/>
        <w:spacing w:before="9"/>
        <w:rPr>
          <w:rFonts w:ascii="Trebuchet MS"/>
          <w:b/>
          <w:sz w:val="53"/>
        </w:rPr>
      </w:pPr>
    </w:p>
    <w:p w14:paraId="79D3A222" w14:textId="248B5708" w:rsidR="00C96874" w:rsidRDefault="00294413" w:rsidP="00C96874">
      <w:pPr>
        <w:pStyle w:val="Leader"/>
        <w:rPr>
          <w:rFonts w:ascii="Trebuchet MS"/>
          <w:sz w:val="36"/>
        </w:rPr>
      </w:pPr>
      <w:r>
        <w:rPr>
          <w:rFonts w:ascii="Trebuchet MS"/>
          <w:sz w:val="36"/>
        </w:rPr>
        <w:t>September</w:t>
      </w:r>
      <w:r w:rsidR="0091085C">
        <w:rPr>
          <w:rFonts w:ascii="Trebuchet MS"/>
          <w:sz w:val="36"/>
        </w:rPr>
        <w:t xml:space="preserve"> 202</w:t>
      </w:r>
      <w:r w:rsidR="008705C1">
        <w:rPr>
          <w:rFonts w:ascii="Trebuchet MS"/>
          <w:sz w:val="36"/>
        </w:rPr>
        <w:t>3</w:t>
      </w:r>
    </w:p>
    <w:p w14:paraId="46FFF51A" w14:textId="77777777" w:rsidR="00C96874" w:rsidRDefault="00C96874" w:rsidP="00C96874">
      <w:pPr>
        <w:pStyle w:val="BodyText"/>
        <w:spacing w:before="99" w:line="241" w:lineRule="exact"/>
      </w:pPr>
      <w:r>
        <w:br w:type="page"/>
      </w:r>
      <w:r>
        <w:lastRenderedPageBreak/>
        <w:t>Planning and Budget Commission</w:t>
      </w:r>
    </w:p>
    <w:p w14:paraId="646ABEEF" w14:textId="05FA4A06" w:rsidR="00C96874" w:rsidRDefault="00C96874" w:rsidP="00C96874">
      <w:pPr>
        <w:pStyle w:val="BodyText"/>
        <w:ind w:right="4891"/>
      </w:pPr>
      <w:r>
        <w:t>No.1</w:t>
      </w:r>
      <w:r w:rsidR="00756E82">
        <w:t>6</w:t>
      </w:r>
      <w:r>
        <w:t>, Muhammadu Buhari Way Kaduna State, Nigeria.</w:t>
      </w:r>
    </w:p>
    <w:p w14:paraId="6E2BC484" w14:textId="77777777" w:rsidR="00C96874" w:rsidRDefault="00C96874" w:rsidP="00C96874">
      <w:pPr>
        <w:pStyle w:val="BodyText"/>
        <w:rPr>
          <w:sz w:val="30"/>
        </w:rPr>
      </w:pPr>
    </w:p>
    <w:p w14:paraId="201EF929" w14:textId="4406A85F" w:rsidR="00C96874" w:rsidRDefault="00000000" w:rsidP="00C96874">
      <w:pPr>
        <w:pStyle w:val="BodyText"/>
        <w:spacing w:before="99" w:line="241" w:lineRule="exact"/>
      </w:pPr>
      <w:hyperlink r:id="rId9">
        <w:r w:rsidR="00C96874" w:rsidRPr="0030297E">
          <w:t>www.mobp.kadgov.ng</w:t>
        </w:r>
      </w:hyperlink>
      <w:r w:rsidR="00C96874" w:rsidRPr="0030297E">
        <w:t xml:space="preserve"> </w:t>
      </w:r>
      <w:r w:rsidR="00C96874">
        <w:t>Twitter: @</w:t>
      </w:r>
      <w:r w:rsidR="00E55696">
        <w:t>KADPBC</w:t>
      </w:r>
    </w:p>
    <w:p w14:paraId="1DA5B463" w14:textId="77777777" w:rsidR="004F5C2B" w:rsidRDefault="004F5C2B" w:rsidP="00C96874">
      <w:pPr>
        <w:pStyle w:val="Leader"/>
        <w:sectPr w:rsidR="004F5C2B" w:rsidSect="004F57E5">
          <w:headerReference w:type="even" r:id="rId10"/>
          <w:headerReference w:type="default" r:id="rId11"/>
          <w:headerReference w:type="first" r:id="rId12"/>
          <w:pgSz w:w="11906" w:h="16838" w:code="9"/>
          <w:pgMar w:top="1440" w:right="1797" w:bottom="1440" w:left="1797" w:header="709" w:footer="709" w:gutter="0"/>
          <w:pgNumType w:fmt="lowerRoman"/>
          <w:cols w:space="708"/>
          <w:vAlign w:val="center"/>
          <w:docGrid w:linePitch="360"/>
        </w:sectPr>
      </w:pPr>
    </w:p>
    <w:sdt>
      <w:sdtPr>
        <w:rPr>
          <w:rFonts w:ascii="Tahoma" w:eastAsia="Times New Roman" w:hAnsi="Tahoma" w:cs="Times New Roman"/>
          <w:color w:val="auto"/>
          <w:sz w:val="20"/>
          <w:szCs w:val="24"/>
          <w:lang w:val="en-GB" w:eastAsia="en-GB"/>
        </w:rPr>
        <w:id w:val="650411376"/>
        <w:docPartObj>
          <w:docPartGallery w:val="Table of Contents"/>
          <w:docPartUnique/>
        </w:docPartObj>
      </w:sdtPr>
      <w:sdtEndPr>
        <w:rPr>
          <w:b/>
          <w:bCs/>
          <w:noProof/>
        </w:rPr>
      </w:sdtEndPr>
      <w:sdtContent>
        <w:p w14:paraId="30025B1A" w14:textId="4AB238F4" w:rsidR="004F5C2B" w:rsidRPr="004F5C2B" w:rsidRDefault="004F5C2B">
          <w:pPr>
            <w:pStyle w:val="TOCHeading"/>
            <w:rPr>
              <w:b/>
              <w:bCs/>
              <w:color w:val="000000" w:themeColor="text1"/>
            </w:rPr>
          </w:pPr>
          <w:r w:rsidRPr="004F5C2B">
            <w:rPr>
              <w:b/>
              <w:bCs/>
              <w:color w:val="000000" w:themeColor="text1"/>
            </w:rPr>
            <w:t>Table of Contents</w:t>
          </w:r>
        </w:p>
        <w:p w14:paraId="217B785E" w14:textId="28A88D5E" w:rsidR="004F5C2B" w:rsidRDefault="004F5C2B">
          <w:pPr>
            <w:pStyle w:val="TOC1"/>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r>
            <w:fldChar w:fldCharType="begin"/>
          </w:r>
          <w:r>
            <w:instrText xml:space="preserve"> TOC \o "1-3" \h \z \u </w:instrText>
          </w:r>
          <w:r>
            <w:fldChar w:fldCharType="separate"/>
          </w:r>
          <w:hyperlink w:anchor="_Toc143179766" w:history="1">
            <w:r w:rsidRPr="004B37E1">
              <w:rPr>
                <w:rStyle w:val="Hyperlink"/>
                <w:noProof/>
              </w:rPr>
              <w:t>Section 1</w:t>
            </w:r>
            <w:r>
              <w:rPr>
                <w:rFonts w:asciiTheme="minorHAnsi" w:eastAsiaTheme="minorEastAsia" w:hAnsiTheme="minorHAnsi" w:cstheme="minorBidi"/>
                <w:noProof/>
                <w:kern w:val="2"/>
                <w:sz w:val="22"/>
                <w:szCs w:val="22"/>
                <w:lang w:val="en-NG" w:eastAsia="en-NG"/>
                <w14:ligatures w14:val="standardContextual"/>
              </w:rPr>
              <w:tab/>
            </w:r>
            <w:r w:rsidRPr="004B37E1">
              <w:rPr>
                <w:rStyle w:val="Hyperlink"/>
                <w:noProof/>
              </w:rPr>
              <w:t>Introduction and Background</w:t>
            </w:r>
            <w:r>
              <w:rPr>
                <w:noProof/>
                <w:webHidden/>
              </w:rPr>
              <w:tab/>
            </w:r>
            <w:r>
              <w:rPr>
                <w:noProof/>
                <w:webHidden/>
              </w:rPr>
              <w:fldChar w:fldCharType="begin"/>
            </w:r>
            <w:r>
              <w:rPr>
                <w:noProof/>
                <w:webHidden/>
              </w:rPr>
              <w:instrText xml:space="preserve"> PAGEREF _Toc143179766 \h </w:instrText>
            </w:r>
            <w:r>
              <w:rPr>
                <w:noProof/>
                <w:webHidden/>
              </w:rPr>
            </w:r>
            <w:r>
              <w:rPr>
                <w:noProof/>
                <w:webHidden/>
              </w:rPr>
              <w:fldChar w:fldCharType="separate"/>
            </w:r>
            <w:r>
              <w:rPr>
                <w:noProof/>
                <w:webHidden/>
              </w:rPr>
              <w:t>1</w:t>
            </w:r>
            <w:r>
              <w:rPr>
                <w:noProof/>
                <w:webHidden/>
              </w:rPr>
              <w:fldChar w:fldCharType="end"/>
            </w:r>
          </w:hyperlink>
        </w:p>
        <w:p w14:paraId="18C57E40" w14:textId="2C90BC64"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67" w:history="1">
            <w:r w:rsidR="004F5C2B" w:rsidRPr="004B37E1">
              <w:rPr>
                <w:rStyle w:val="Hyperlink"/>
                <w:noProof/>
              </w:rPr>
              <w:t>1.A</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Introduction</w:t>
            </w:r>
            <w:r w:rsidR="004F5C2B">
              <w:rPr>
                <w:noProof/>
                <w:webHidden/>
              </w:rPr>
              <w:tab/>
            </w:r>
            <w:r w:rsidR="004F5C2B">
              <w:rPr>
                <w:noProof/>
                <w:webHidden/>
              </w:rPr>
              <w:fldChar w:fldCharType="begin"/>
            </w:r>
            <w:r w:rsidR="004F5C2B">
              <w:rPr>
                <w:noProof/>
                <w:webHidden/>
              </w:rPr>
              <w:instrText xml:space="preserve"> PAGEREF _Toc143179767 \h </w:instrText>
            </w:r>
            <w:r w:rsidR="004F5C2B">
              <w:rPr>
                <w:noProof/>
                <w:webHidden/>
              </w:rPr>
            </w:r>
            <w:r w:rsidR="004F5C2B">
              <w:rPr>
                <w:noProof/>
                <w:webHidden/>
              </w:rPr>
              <w:fldChar w:fldCharType="separate"/>
            </w:r>
            <w:r w:rsidR="004F5C2B">
              <w:rPr>
                <w:noProof/>
                <w:webHidden/>
              </w:rPr>
              <w:t>1</w:t>
            </w:r>
            <w:r w:rsidR="004F5C2B">
              <w:rPr>
                <w:noProof/>
                <w:webHidden/>
              </w:rPr>
              <w:fldChar w:fldCharType="end"/>
            </w:r>
          </w:hyperlink>
        </w:p>
        <w:p w14:paraId="6B891764" w14:textId="6B355A42"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68" w:history="1">
            <w:r w:rsidR="004F5C2B" w:rsidRPr="004B37E1">
              <w:rPr>
                <w:rStyle w:val="Hyperlink"/>
                <w:noProof/>
              </w:rPr>
              <w:t>1.A.1</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Historical Preparation of MTEF</w:t>
            </w:r>
            <w:r w:rsidR="004F5C2B">
              <w:rPr>
                <w:noProof/>
                <w:webHidden/>
              </w:rPr>
              <w:tab/>
            </w:r>
            <w:r w:rsidR="004F5C2B">
              <w:rPr>
                <w:noProof/>
                <w:webHidden/>
              </w:rPr>
              <w:fldChar w:fldCharType="begin"/>
            </w:r>
            <w:r w:rsidR="004F5C2B">
              <w:rPr>
                <w:noProof/>
                <w:webHidden/>
              </w:rPr>
              <w:instrText xml:space="preserve"> PAGEREF _Toc143179768 \h </w:instrText>
            </w:r>
            <w:r w:rsidR="004F5C2B">
              <w:rPr>
                <w:noProof/>
                <w:webHidden/>
              </w:rPr>
            </w:r>
            <w:r w:rsidR="004F5C2B">
              <w:rPr>
                <w:noProof/>
                <w:webHidden/>
              </w:rPr>
              <w:fldChar w:fldCharType="separate"/>
            </w:r>
            <w:r w:rsidR="004F5C2B">
              <w:rPr>
                <w:noProof/>
                <w:webHidden/>
              </w:rPr>
              <w:t>1</w:t>
            </w:r>
            <w:r w:rsidR="004F5C2B">
              <w:rPr>
                <w:noProof/>
                <w:webHidden/>
              </w:rPr>
              <w:fldChar w:fldCharType="end"/>
            </w:r>
          </w:hyperlink>
        </w:p>
        <w:p w14:paraId="055355BC" w14:textId="1C34A874"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69" w:history="1">
            <w:r w:rsidR="004F5C2B" w:rsidRPr="004B37E1">
              <w:rPr>
                <w:rStyle w:val="Hyperlink"/>
                <w:noProof/>
              </w:rPr>
              <w:t>1.A.2</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Summary of Document Content</w:t>
            </w:r>
            <w:r w:rsidR="004F5C2B">
              <w:rPr>
                <w:noProof/>
                <w:webHidden/>
              </w:rPr>
              <w:tab/>
            </w:r>
            <w:r w:rsidR="004F5C2B">
              <w:rPr>
                <w:noProof/>
                <w:webHidden/>
              </w:rPr>
              <w:fldChar w:fldCharType="begin"/>
            </w:r>
            <w:r w:rsidR="004F5C2B">
              <w:rPr>
                <w:noProof/>
                <w:webHidden/>
              </w:rPr>
              <w:instrText xml:space="preserve"> PAGEREF _Toc143179769 \h </w:instrText>
            </w:r>
            <w:r w:rsidR="004F5C2B">
              <w:rPr>
                <w:noProof/>
                <w:webHidden/>
              </w:rPr>
            </w:r>
            <w:r w:rsidR="004F5C2B">
              <w:rPr>
                <w:noProof/>
                <w:webHidden/>
              </w:rPr>
              <w:fldChar w:fldCharType="separate"/>
            </w:r>
            <w:r w:rsidR="004F5C2B">
              <w:rPr>
                <w:noProof/>
                <w:webHidden/>
              </w:rPr>
              <w:t>2</w:t>
            </w:r>
            <w:r w:rsidR="004F5C2B">
              <w:rPr>
                <w:noProof/>
                <w:webHidden/>
              </w:rPr>
              <w:fldChar w:fldCharType="end"/>
            </w:r>
          </w:hyperlink>
        </w:p>
        <w:p w14:paraId="690CD141" w14:textId="258187AC"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70" w:history="1">
            <w:r w:rsidR="004F5C2B" w:rsidRPr="004B37E1">
              <w:rPr>
                <w:rStyle w:val="Hyperlink"/>
                <w:noProof/>
              </w:rPr>
              <w:t>1.A.3</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Preparation and Audience</w:t>
            </w:r>
            <w:r w:rsidR="004F5C2B">
              <w:rPr>
                <w:noProof/>
                <w:webHidden/>
              </w:rPr>
              <w:tab/>
            </w:r>
            <w:r w:rsidR="004F5C2B">
              <w:rPr>
                <w:noProof/>
                <w:webHidden/>
              </w:rPr>
              <w:fldChar w:fldCharType="begin"/>
            </w:r>
            <w:r w:rsidR="004F5C2B">
              <w:rPr>
                <w:noProof/>
                <w:webHidden/>
              </w:rPr>
              <w:instrText xml:space="preserve"> PAGEREF _Toc143179770 \h </w:instrText>
            </w:r>
            <w:r w:rsidR="004F5C2B">
              <w:rPr>
                <w:noProof/>
                <w:webHidden/>
              </w:rPr>
            </w:r>
            <w:r w:rsidR="004F5C2B">
              <w:rPr>
                <w:noProof/>
                <w:webHidden/>
              </w:rPr>
              <w:fldChar w:fldCharType="separate"/>
            </w:r>
            <w:r w:rsidR="004F5C2B">
              <w:rPr>
                <w:noProof/>
                <w:webHidden/>
              </w:rPr>
              <w:t>3</w:t>
            </w:r>
            <w:r w:rsidR="004F5C2B">
              <w:rPr>
                <w:noProof/>
                <w:webHidden/>
              </w:rPr>
              <w:fldChar w:fldCharType="end"/>
            </w:r>
          </w:hyperlink>
        </w:p>
        <w:p w14:paraId="2BC4A127" w14:textId="6BD40DCD"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71" w:history="1">
            <w:r w:rsidR="004F5C2B" w:rsidRPr="004B37E1">
              <w:rPr>
                <w:rStyle w:val="Hyperlink"/>
                <w:noProof/>
              </w:rPr>
              <w:t>1.B</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Background</w:t>
            </w:r>
            <w:r w:rsidR="004F5C2B">
              <w:rPr>
                <w:noProof/>
                <w:webHidden/>
              </w:rPr>
              <w:tab/>
            </w:r>
            <w:r w:rsidR="004F5C2B">
              <w:rPr>
                <w:noProof/>
                <w:webHidden/>
              </w:rPr>
              <w:fldChar w:fldCharType="begin"/>
            </w:r>
            <w:r w:rsidR="004F5C2B">
              <w:rPr>
                <w:noProof/>
                <w:webHidden/>
              </w:rPr>
              <w:instrText xml:space="preserve"> PAGEREF _Toc143179771 \h </w:instrText>
            </w:r>
            <w:r w:rsidR="004F5C2B">
              <w:rPr>
                <w:noProof/>
                <w:webHidden/>
              </w:rPr>
            </w:r>
            <w:r w:rsidR="004F5C2B">
              <w:rPr>
                <w:noProof/>
                <w:webHidden/>
              </w:rPr>
              <w:fldChar w:fldCharType="separate"/>
            </w:r>
            <w:r w:rsidR="004F5C2B">
              <w:rPr>
                <w:noProof/>
                <w:webHidden/>
              </w:rPr>
              <w:t>3</w:t>
            </w:r>
            <w:r w:rsidR="004F5C2B">
              <w:rPr>
                <w:noProof/>
                <w:webHidden/>
              </w:rPr>
              <w:fldChar w:fldCharType="end"/>
            </w:r>
          </w:hyperlink>
        </w:p>
        <w:p w14:paraId="31671648" w14:textId="1F138733"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72" w:history="1">
            <w:r w:rsidR="004F5C2B" w:rsidRPr="004B37E1">
              <w:rPr>
                <w:rStyle w:val="Hyperlink"/>
                <w:noProof/>
              </w:rPr>
              <w:t>1.B.1</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Legislative and Institutional arrangement for PFM</w:t>
            </w:r>
            <w:r w:rsidR="004F5C2B">
              <w:rPr>
                <w:noProof/>
                <w:webHidden/>
              </w:rPr>
              <w:tab/>
            </w:r>
            <w:r w:rsidR="004F5C2B">
              <w:rPr>
                <w:noProof/>
                <w:webHidden/>
              </w:rPr>
              <w:fldChar w:fldCharType="begin"/>
            </w:r>
            <w:r w:rsidR="004F5C2B">
              <w:rPr>
                <w:noProof/>
                <w:webHidden/>
              </w:rPr>
              <w:instrText xml:space="preserve"> PAGEREF _Toc143179772 \h </w:instrText>
            </w:r>
            <w:r w:rsidR="004F5C2B">
              <w:rPr>
                <w:noProof/>
                <w:webHidden/>
              </w:rPr>
            </w:r>
            <w:r w:rsidR="004F5C2B">
              <w:rPr>
                <w:noProof/>
                <w:webHidden/>
              </w:rPr>
              <w:fldChar w:fldCharType="separate"/>
            </w:r>
            <w:r w:rsidR="004F5C2B">
              <w:rPr>
                <w:noProof/>
                <w:webHidden/>
              </w:rPr>
              <w:t>3</w:t>
            </w:r>
            <w:r w:rsidR="004F5C2B">
              <w:rPr>
                <w:noProof/>
                <w:webHidden/>
              </w:rPr>
              <w:fldChar w:fldCharType="end"/>
            </w:r>
          </w:hyperlink>
        </w:p>
        <w:p w14:paraId="5ACE9C13" w14:textId="30395BC2"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73" w:history="1">
            <w:r w:rsidR="004F5C2B" w:rsidRPr="004B37E1">
              <w:rPr>
                <w:rStyle w:val="Hyperlink"/>
                <w:noProof/>
              </w:rPr>
              <w:t>1.B.2</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Overview of Budget Calendar</w:t>
            </w:r>
            <w:r w:rsidR="004F5C2B">
              <w:rPr>
                <w:noProof/>
                <w:webHidden/>
              </w:rPr>
              <w:tab/>
            </w:r>
            <w:r w:rsidR="004F5C2B">
              <w:rPr>
                <w:noProof/>
                <w:webHidden/>
              </w:rPr>
              <w:fldChar w:fldCharType="begin"/>
            </w:r>
            <w:r w:rsidR="004F5C2B">
              <w:rPr>
                <w:noProof/>
                <w:webHidden/>
              </w:rPr>
              <w:instrText xml:space="preserve"> PAGEREF _Toc143179773 \h </w:instrText>
            </w:r>
            <w:r w:rsidR="004F5C2B">
              <w:rPr>
                <w:noProof/>
                <w:webHidden/>
              </w:rPr>
            </w:r>
            <w:r w:rsidR="004F5C2B">
              <w:rPr>
                <w:noProof/>
                <w:webHidden/>
              </w:rPr>
              <w:fldChar w:fldCharType="separate"/>
            </w:r>
            <w:r w:rsidR="004F5C2B">
              <w:rPr>
                <w:noProof/>
                <w:webHidden/>
              </w:rPr>
              <w:t>4</w:t>
            </w:r>
            <w:r w:rsidR="004F5C2B">
              <w:rPr>
                <w:noProof/>
                <w:webHidden/>
              </w:rPr>
              <w:fldChar w:fldCharType="end"/>
            </w:r>
          </w:hyperlink>
        </w:p>
        <w:p w14:paraId="43466F87" w14:textId="4263B207" w:rsidR="004F5C2B" w:rsidRDefault="00000000">
          <w:pPr>
            <w:pStyle w:val="TOC1"/>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74" w:history="1">
            <w:r w:rsidR="004F5C2B" w:rsidRPr="004B37E1">
              <w:rPr>
                <w:rStyle w:val="Hyperlink"/>
                <w:noProof/>
              </w:rPr>
              <w:t>Section 2</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Economic and Fiscal Update</w:t>
            </w:r>
            <w:r w:rsidR="004F5C2B">
              <w:rPr>
                <w:noProof/>
                <w:webHidden/>
              </w:rPr>
              <w:tab/>
            </w:r>
            <w:r w:rsidR="004F5C2B">
              <w:rPr>
                <w:noProof/>
                <w:webHidden/>
              </w:rPr>
              <w:fldChar w:fldCharType="begin"/>
            </w:r>
            <w:r w:rsidR="004F5C2B">
              <w:rPr>
                <w:noProof/>
                <w:webHidden/>
              </w:rPr>
              <w:instrText xml:space="preserve"> PAGEREF _Toc143179774 \h </w:instrText>
            </w:r>
            <w:r w:rsidR="004F5C2B">
              <w:rPr>
                <w:noProof/>
                <w:webHidden/>
              </w:rPr>
            </w:r>
            <w:r w:rsidR="004F5C2B">
              <w:rPr>
                <w:noProof/>
                <w:webHidden/>
              </w:rPr>
              <w:fldChar w:fldCharType="separate"/>
            </w:r>
            <w:r w:rsidR="004F5C2B">
              <w:rPr>
                <w:noProof/>
                <w:webHidden/>
              </w:rPr>
              <w:t>6</w:t>
            </w:r>
            <w:r w:rsidR="004F5C2B">
              <w:rPr>
                <w:noProof/>
                <w:webHidden/>
              </w:rPr>
              <w:fldChar w:fldCharType="end"/>
            </w:r>
          </w:hyperlink>
        </w:p>
        <w:p w14:paraId="003153BB" w14:textId="0F074756"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75" w:history="1">
            <w:r w:rsidR="004F5C2B" w:rsidRPr="004B37E1">
              <w:rPr>
                <w:rStyle w:val="Hyperlink"/>
                <w:noProof/>
              </w:rPr>
              <w:t>2.A</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Economic Overview</w:t>
            </w:r>
            <w:r w:rsidR="004F5C2B">
              <w:rPr>
                <w:noProof/>
                <w:webHidden/>
              </w:rPr>
              <w:tab/>
            </w:r>
            <w:r w:rsidR="004F5C2B">
              <w:rPr>
                <w:noProof/>
                <w:webHidden/>
              </w:rPr>
              <w:fldChar w:fldCharType="begin"/>
            </w:r>
            <w:r w:rsidR="004F5C2B">
              <w:rPr>
                <w:noProof/>
                <w:webHidden/>
              </w:rPr>
              <w:instrText xml:space="preserve"> PAGEREF _Toc143179775 \h </w:instrText>
            </w:r>
            <w:r w:rsidR="004F5C2B">
              <w:rPr>
                <w:noProof/>
                <w:webHidden/>
              </w:rPr>
            </w:r>
            <w:r w:rsidR="004F5C2B">
              <w:rPr>
                <w:noProof/>
                <w:webHidden/>
              </w:rPr>
              <w:fldChar w:fldCharType="separate"/>
            </w:r>
            <w:r w:rsidR="004F5C2B">
              <w:rPr>
                <w:noProof/>
                <w:webHidden/>
              </w:rPr>
              <w:t>6</w:t>
            </w:r>
            <w:r w:rsidR="004F5C2B">
              <w:rPr>
                <w:noProof/>
                <w:webHidden/>
              </w:rPr>
              <w:fldChar w:fldCharType="end"/>
            </w:r>
          </w:hyperlink>
        </w:p>
        <w:p w14:paraId="7F65DD8F" w14:textId="72A1DADE"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76" w:history="1">
            <w:r w:rsidR="004F5C2B" w:rsidRPr="004B37E1">
              <w:rPr>
                <w:rStyle w:val="Hyperlink"/>
                <w:noProof/>
              </w:rPr>
              <w:t>2.A.1</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Global Economy</w:t>
            </w:r>
            <w:r w:rsidR="004F5C2B">
              <w:rPr>
                <w:noProof/>
                <w:webHidden/>
              </w:rPr>
              <w:tab/>
            </w:r>
            <w:r w:rsidR="004F5C2B">
              <w:rPr>
                <w:noProof/>
                <w:webHidden/>
              </w:rPr>
              <w:fldChar w:fldCharType="begin"/>
            </w:r>
            <w:r w:rsidR="004F5C2B">
              <w:rPr>
                <w:noProof/>
                <w:webHidden/>
              </w:rPr>
              <w:instrText xml:space="preserve"> PAGEREF _Toc143179776 \h </w:instrText>
            </w:r>
            <w:r w:rsidR="004F5C2B">
              <w:rPr>
                <w:noProof/>
                <w:webHidden/>
              </w:rPr>
            </w:r>
            <w:r w:rsidR="004F5C2B">
              <w:rPr>
                <w:noProof/>
                <w:webHidden/>
              </w:rPr>
              <w:fldChar w:fldCharType="separate"/>
            </w:r>
            <w:r w:rsidR="004F5C2B">
              <w:rPr>
                <w:noProof/>
                <w:webHidden/>
              </w:rPr>
              <w:t>6</w:t>
            </w:r>
            <w:r w:rsidR="004F5C2B">
              <w:rPr>
                <w:noProof/>
                <w:webHidden/>
              </w:rPr>
              <w:fldChar w:fldCharType="end"/>
            </w:r>
          </w:hyperlink>
        </w:p>
        <w:p w14:paraId="01F1B2BD" w14:textId="1D0EE964"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77" w:history="1">
            <w:r w:rsidR="004F5C2B" w:rsidRPr="004B37E1">
              <w:rPr>
                <w:rStyle w:val="Hyperlink"/>
                <w:noProof/>
                <w:lang w:val="en-US"/>
              </w:rPr>
              <w:t>2.A.2</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lang w:val="en-US"/>
              </w:rPr>
              <w:t>Inflation</w:t>
            </w:r>
            <w:r w:rsidR="004F5C2B">
              <w:rPr>
                <w:noProof/>
                <w:webHidden/>
              </w:rPr>
              <w:tab/>
            </w:r>
            <w:r w:rsidR="004F5C2B">
              <w:rPr>
                <w:noProof/>
                <w:webHidden/>
              </w:rPr>
              <w:fldChar w:fldCharType="begin"/>
            </w:r>
            <w:r w:rsidR="004F5C2B">
              <w:rPr>
                <w:noProof/>
                <w:webHidden/>
              </w:rPr>
              <w:instrText xml:space="preserve"> PAGEREF _Toc143179777 \h </w:instrText>
            </w:r>
            <w:r w:rsidR="004F5C2B">
              <w:rPr>
                <w:noProof/>
                <w:webHidden/>
              </w:rPr>
            </w:r>
            <w:r w:rsidR="004F5C2B">
              <w:rPr>
                <w:noProof/>
                <w:webHidden/>
              </w:rPr>
              <w:fldChar w:fldCharType="separate"/>
            </w:r>
            <w:r w:rsidR="004F5C2B">
              <w:rPr>
                <w:noProof/>
                <w:webHidden/>
              </w:rPr>
              <w:t>8</w:t>
            </w:r>
            <w:r w:rsidR="004F5C2B">
              <w:rPr>
                <w:noProof/>
                <w:webHidden/>
              </w:rPr>
              <w:fldChar w:fldCharType="end"/>
            </w:r>
          </w:hyperlink>
        </w:p>
        <w:p w14:paraId="30629ADC" w14:textId="317BF76F"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78" w:history="1">
            <w:r w:rsidR="004F5C2B" w:rsidRPr="004B37E1">
              <w:rPr>
                <w:rStyle w:val="Hyperlink"/>
                <w:noProof/>
              </w:rPr>
              <w:t>2.A.3</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Commodities</w:t>
            </w:r>
            <w:r w:rsidR="004F5C2B">
              <w:rPr>
                <w:noProof/>
                <w:webHidden/>
              </w:rPr>
              <w:tab/>
            </w:r>
            <w:r w:rsidR="004F5C2B">
              <w:rPr>
                <w:noProof/>
                <w:webHidden/>
              </w:rPr>
              <w:fldChar w:fldCharType="begin"/>
            </w:r>
            <w:r w:rsidR="004F5C2B">
              <w:rPr>
                <w:noProof/>
                <w:webHidden/>
              </w:rPr>
              <w:instrText xml:space="preserve"> PAGEREF _Toc143179778 \h </w:instrText>
            </w:r>
            <w:r w:rsidR="004F5C2B">
              <w:rPr>
                <w:noProof/>
                <w:webHidden/>
              </w:rPr>
            </w:r>
            <w:r w:rsidR="004F5C2B">
              <w:rPr>
                <w:noProof/>
                <w:webHidden/>
              </w:rPr>
              <w:fldChar w:fldCharType="separate"/>
            </w:r>
            <w:r w:rsidR="004F5C2B">
              <w:rPr>
                <w:noProof/>
                <w:webHidden/>
              </w:rPr>
              <w:t>9</w:t>
            </w:r>
            <w:r w:rsidR="004F5C2B">
              <w:rPr>
                <w:noProof/>
                <w:webHidden/>
              </w:rPr>
              <w:fldChar w:fldCharType="end"/>
            </w:r>
          </w:hyperlink>
        </w:p>
        <w:p w14:paraId="51DBA51E" w14:textId="596FB3EE"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79" w:history="1">
            <w:r w:rsidR="004F5C2B" w:rsidRPr="004B37E1">
              <w:rPr>
                <w:rStyle w:val="Hyperlink"/>
                <w:noProof/>
              </w:rPr>
              <w:t>2.A.4</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Sub-Saharan Africa Economic Overview</w:t>
            </w:r>
            <w:r w:rsidR="004F5C2B">
              <w:rPr>
                <w:noProof/>
                <w:webHidden/>
              </w:rPr>
              <w:tab/>
            </w:r>
            <w:r w:rsidR="004F5C2B">
              <w:rPr>
                <w:noProof/>
                <w:webHidden/>
              </w:rPr>
              <w:fldChar w:fldCharType="begin"/>
            </w:r>
            <w:r w:rsidR="004F5C2B">
              <w:rPr>
                <w:noProof/>
                <w:webHidden/>
              </w:rPr>
              <w:instrText xml:space="preserve"> PAGEREF _Toc143179779 \h </w:instrText>
            </w:r>
            <w:r w:rsidR="004F5C2B">
              <w:rPr>
                <w:noProof/>
                <w:webHidden/>
              </w:rPr>
            </w:r>
            <w:r w:rsidR="004F5C2B">
              <w:rPr>
                <w:noProof/>
                <w:webHidden/>
              </w:rPr>
              <w:fldChar w:fldCharType="separate"/>
            </w:r>
            <w:r w:rsidR="004F5C2B">
              <w:rPr>
                <w:noProof/>
                <w:webHidden/>
              </w:rPr>
              <w:t>10</w:t>
            </w:r>
            <w:r w:rsidR="004F5C2B">
              <w:rPr>
                <w:noProof/>
                <w:webHidden/>
              </w:rPr>
              <w:fldChar w:fldCharType="end"/>
            </w:r>
          </w:hyperlink>
        </w:p>
        <w:p w14:paraId="725A4D68" w14:textId="25160B18"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80" w:history="1">
            <w:r w:rsidR="004F5C2B" w:rsidRPr="004B37E1">
              <w:rPr>
                <w:rStyle w:val="Hyperlink"/>
                <w:noProof/>
              </w:rPr>
              <w:t>2.A.5</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Disruption of Economic Recovery</w:t>
            </w:r>
            <w:r w:rsidR="004F5C2B">
              <w:rPr>
                <w:noProof/>
                <w:webHidden/>
              </w:rPr>
              <w:tab/>
            </w:r>
            <w:r w:rsidR="004F5C2B">
              <w:rPr>
                <w:noProof/>
                <w:webHidden/>
              </w:rPr>
              <w:fldChar w:fldCharType="begin"/>
            </w:r>
            <w:r w:rsidR="004F5C2B">
              <w:rPr>
                <w:noProof/>
                <w:webHidden/>
              </w:rPr>
              <w:instrText xml:space="preserve"> PAGEREF _Toc143179780 \h </w:instrText>
            </w:r>
            <w:r w:rsidR="004F5C2B">
              <w:rPr>
                <w:noProof/>
                <w:webHidden/>
              </w:rPr>
            </w:r>
            <w:r w:rsidR="004F5C2B">
              <w:rPr>
                <w:noProof/>
                <w:webHidden/>
              </w:rPr>
              <w:fldChar w:fldCharType="separate"/>
            </w:r>
            <w:r w:rsidR="004F5C2B">
              <w:rPr>
                <w:noProof/>
                <w:webHidden/>
              </w:rPr>
              <w:t>11</w:t>
            </w:r>
            <w:r w:rsidR="004F5C2B">
              <w:rPr>
                <w:noProof/>
                <w:webHidden/>
              </w:rPr>
              <w:fldChar w:fldCharType="end"/>
            </w:r>
          </w:hyperlink>
        </w:p>
        <w:p w14:paraId="0D588300" w14:textId="6E429AB9"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81" w:history="1">
            <w:r w:rsidR="004F5C2B" w:rsidRPr="004B37E1">
              <w:rPr>
                <w:rStyle w:val="Hyperlink"/>
                <w:noProof/>
              </w:rPr>
              <w:t>2.A.6</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rFonts w:cs="Tahoma"/>
                <w:iCs/>
                <w:noProof/>
              </w:rPr>
              <w:t>Undermining Economic and Development Prospects</w:t>
            </w:r>
            <w:r w:rsidR="004F5C2B">
              <w:rPr>
                <w:noProof/>
                <w:webHidden/>
              </w:rPr>
              <w:tab/>
            </w:r>
            <w:r w:rsidR="004F5C2B">
              <w:rPr>
                <w:noProof/>
                <w:webHidden/>
              </w:rPr>
              <w:fldChar w:fldCharType="begin"/>
            </w:r>
            <w:r w:rsidR="004F5C2B">
              <w:rPr>
                <w:noProof/>
                <w:webHidden/>
              </w:rPr>
              <w:instrText xml:space="preserve"> PAGEREF _Toc143179781 \h </w:instrText>
            </w:r>
            <w:r w:rsidR="004F5C2B">
              <w:rPr>
                <w:noProof/>
                <w:webHidden/>
              </w:rPr>
            </w:r>
            <w:r w:rsidR="004F5C2B">
              <w:rPr>
                <w:noProof/>
                <w:webHidden/>
              </w:rPr>
              <w:fldChar w:fldCharType="separate"/>
            </w:r>
            <w:r w:rsidR="004F5C2B">
              <w:rPr>
                <w:noProof/>
                <w:webHidden/>
              </w:rPr>
              <w:t>11</w:t>
            </w:r>
            <w:r w:rsidR="004F5C2B">
              <w:rPr>
                <w:noProof/>
                <w:webHidden/>
              </w:rPr>
              <w:fldChar w:fldCharType="end"/>
            </w:r>
          </w:hyperlink>
        </w:p>
        <w:p w14:paraId="17A63FFD" w14:textId="458D53FF"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82" w:history="1">
            <w:r w:rsidR="004F5C2B" w:rsidRPr="004B37E1">
              <w:rPr>
                <w:rStyle w:val="Hyperlink"/>
                <w:noProof/>
              </w:rPr>
              <w:t>2.A.7</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Outlook for 2023</w:t>
            </w:r>
            <w:r w:rsidR="004F5C2B">
              <w:rPr>
                <w:noProof/>
                <w:webHidden/>
              </w:rPr>
              <w:tab/>
            </w:r>
            <w:r w:rsidR="004F5C2B">
              <w:rPr>
                <w:noProof/>
                <w:webHidden/>
              </w:rPr>
              <w:fldChar w:fldCharType="begin"/>
            </w:r>
            <w:r w:rsidR="004F5C2B">
              <w:rPr>
                <w:noProof/>
                <w:webHidden/>
              </w:rPr>
              <w:instrText xml:space="preserve"> PAGEREF _Toc143179782 \h </w:instrText>
            </w:r>
            <w:r w:rsidR="004F5C2B">
              <w:rPr>
                <w:noProof/>
                <w:webHidden/>
              </w:rPr>
            </w:r>
            <w:r w:rsidR="004F5C2B">
              <w:rPr>
                <w:noProof/>
                <w:webHidden/>
              </w:rPr>
              <w:fldChar w:fldCharType="separate"/>
            </w:r>
            <w:r w:rsidR="004F5C2B">
              <w:rPr>
                <w:noProof/>
                <w:webHidden/>
              </w:rPr>
              <w:t>12</w:t>
            </w:r>
            <w:r w:rsidR="004F5C2B">
              <w:rPr>
                <w:noProof/>
                <w:webHidden/>
              </w:rPr>
              <w:fldChar w:fldCharType="end"/>
            </w:r>
          </w:hyperlink>
        </w:p>
        <w:p w14:paraId="5FF18E19" w14:textId="114518B3"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83" w:history="1">
            <w:r w:rsidR="004F5C2B" w:rsidRPr="004B37E1">
              <w:rPr>
                <w:rStyle w:val="Hyperlink"/>
                <w:noProof/>
              </w:rPr>
              <w:t>2.B</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Nigerian Economy</w:t>
            </w:r>
            <w:r w:rsidR="004F5C2B">
              <w:rPr>
                <w:noProof/>
                <w:webHidden/>
              </w:rPr>
              <w:tab/>
            </w:r>
            <w:r w:rsidR="004F5C2B">
              <w:rPr>
                <w:noProof/>
                <w:webHidden/>
              </w:rPr>
              <w:fldChar w:fldCharType="begin"/>
            </w:r>
            <w:r w:rsidR="004F5C2B">
              <w:rPr>
                <w:noProof/>
                <w:webHidden/>
              </w:rPr>
              <w:instrText xml:space="preserve"> PAGEREF _Toc143179783 \h </w:instrText>
            </w:r>
            <w:r w:rsidR="004F5C2B">
              <w:rPr>
                <w:noProof/>
                <w:webHidden/>
              </w:rPr>
            </w:r>
            <w:r w:rsidR="004F5C2B">
              <w:rPr>
                <w:noProof/>
                <w:webHidden/>
              </w:rPr>
              <w:fldChar w:fldCharType="separate"/>
            </w:r>
            <w:r w:rsidR="004F5C2B">
              <w:rPr>
                <w:noProof/>
                <w:webHidden/>
              </w:rPr>
              <w:t>13</w:t>
            </w:r>
            <w:r w:rsidR="004F5C2B">
              <w:rPr>
                <w:noProof/>
                <w:webHidden/>
              </w:rPr>
              <w:fldChar w:fldCharType="end"/>
            </w:r>
          </w:hyperlink>
        </w:p>
        <w:p w14:paraId="50E52FF8" w14:textId="14ECC12C"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84" w:history="1">
            <w:r w:rsidR="004F5C2B" w:rsidRPr="004B37E1">
              <w:rPr>
                <w:rStyle w:val="Hyperlink"/>
                <w:noProof/>
              </w:rPr>
              <w:t>2.B.1</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Nigerian Economy</w:t>
            </w:r>
            <w:r w:rsidR="004F5C2B">
              <w:rPr>
                <w:noProof/>
                <w:webHidden/>
              </w:rPr>
              <w:tab/>
            </w:r>
            <w:r w:rsidR="004F5C2B">
              <w:rPr>
                <w:noProof/>
                <w:webHidden/>
              </w:rPr>
              <w:fldChar w:fldCharType="begin"/>
            </w:r>
            <w:r w:rsidR="004F5C2B">
              <w:rPr>
                <w:noProof/>
                <w:webHidden/>
              </w:rPr>
              <w:instrText xml:space="preserve"> PAGEREF _Toc143179784 \h </w:instrText>
            </w:r>
            <w:r w:rsidR="004F5C2B">
              <w:rPr>
                <w:noProof/>
                <w:webHidden/>
              </w:rPr>
            </w:r>
            <w:r w:rsidR="004F5C2B">
              <w:rPr>
                <w:noProof/>
                <w:webHidden/>
              </w:rPr>
              <w:fldChar w:fldCharType="separate"/>
            </w:r>
            <w:r w:rsidR="004F5C2B">
              <w:rPr>
                <w:noProof/>
                <w:webHidden/>
              </w:rPr>
              <w:t>13</w:t>
            </w:r>
            <w:r w:rsidR="004F5C2B">
              <w:rPr>
                <w:noProof/>
                <w:webHidden/>
              </w:rPr>
              <w:fldChar w:fldCharType="end"/>
            </w:r>
          </w:hyperlink>
        </w:p>
        <w:p w14:paraId="036E239A" w14:textId="65EA767A"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85" w:history="1">
            <w:r w:rsidR="004F5C2B" w:rsidRPr="004B37E1">
              <w:rPr>
                <w:rStyle w:val="Hyperlink"/>
                <w:noProof/>
              </w:rPr>
              <w:t>2.B.2</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Naira Redesign and Monetary Policy on Nigeria’s Economy</w:t>
            </w:r>
            <w:r w:rsidR="004F5C2B">
              <w:rPr>
                <w:noProof/>
                <w:webHidden/>
              </w:rPr>
              <w:tab/>
            </w:r>
            <w:r w:rsidR="004F5C2B">
              <w:rPr>
                <w:noProof/>
                <w:webHidden/>
              </w:rPr>
              <w:fldChar w:fldCharType="begin"/>
            </w:r>
            <w:r w:rsidR="004F5C2B">
              <w:rPr>
                <w:noProof/>
                <w:webHidden/>
              </w:rPr>
              <w:instrText xml:space="preserve"> PAGEREF _Toc143179785 \h </w:instrText>
            </w:r>
            <w:r w:rsidR="004F5C2B">
              <w:rPr>
                <w:noProof/>
                <w:webHidden/>
              </w:rPr>
            </w:r>
            <w:r w:rsidR="004F5C2B">
              <w:rPr>
                <w:noProof/>
                <w:webHidden/>
              </w:rPr>
              <w:fldChar w:fldCharType="separate"/>
            </w:r>
            <w:r w:rsidR="004F5C2B">
              <w:rPr>
                <w:noProof/>
                <w:webHidden/>
              </w:rPr>
              <w:t>13</w:t>
            </w:r>
            <w:r w:rsidR="004F5C2B">
              <w:rPr>
                <w:noProof/>
                <w:webHidden/>
              </w:rPr>
              <w:fldChar w:fldCharType="end"/>
            </w:r>
          </w:hyperlink>
        </w:p>
        <w:p w14:paraId="33586AA4" w14:textId="171EB7CD"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86" w:history="1">
            <w:r w:rsidR="004F5C2B" w:rsidRPr="004B37E1">
              <w:rPr>
                <w:rStyle w:val="Hyperlink"/>
                <w:noProof/>
              </w:rPr>
              <w:t>2.B.3</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Macroeconomy</w:t>
            </w:r>
            <w:r w:rsidR="004F5C2B">
              <w:rPr>
                <w:noProof/>
                <w:webHidden/>
              </w:rPr>
              <w:tab/>
            </w:r>
            <w:r w:rsidR="004F5C2B">
              <w:rPr>
                <w:noProof/>
                <w:webHidden/>
              </w:rPr>
              <w:fldChar w:fldCharType="begin"/>
            </w:r>
            <w:r w:rsidR="004F5C2B">
              <w:rPr>
                <w:noProof/>
                <w:webHidden/>
              </w:rPr>
              <w:instrText xml:space="preserve"> PAGEREF _Toc143179786 \h </w:instrText>
            </w:r>
            <w:r w:rsidR="004F5C2B">
              <w:rPr>
                <w:noProof/>
                <w:webHidden/>
              </w:rPr>
            </w:r>
            <w:r w:rsidR="004F5C2B">
              <w:rPr>
                <w:noProof/>
                <w:webHidden/>
              </w:rPr>
              <w:fldChar w:fldCharType="separate"/>
            </w:r>
            <w:r w:rsidR="004F5C2B">
              <w:rPr>
                <w:noProof/>
                <w:webHidden/>
              </w:rPr>
              <w:t>15</w:t>
            </w:r>
            <w:r w:rsidR="004F5C2B">
              <w:rPr>
                <w:noProof/>
                <w:webHidden/>
              </w:rPr>
              <w:fldChar w:fldCharType="end"/>
            </w:r>
          </w:hyperlink>
        </w:p>
        <w:p w14:paraId="61FFE90C" w14:textId="34B7B038"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87" w:history="1">
            <w:r w:rsidR="004F5C2B" w:rsidRPr="004B37E1">
              <w:rPr>
                <w:rStyle w:val="Hyperlink"/>
                <w:noProof/>
              </w:rPr>
              <w:t>2.B.4</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Crude Oil Production</w:t>
            </w:r>
            <w:r w:rsidR="004F5C2B">
              <w:rPr>
                <w:noProof/>
                <w:webHidden/>
              </w:rPr>
              <w:tab/>
            </w:r>
            <w:r w:rsidR="004F5C2B">
              <w:rPr>
                <w:noProof/>
                <w:webHidden/>
              </w:rPr>
              <w:fldChar w:fldCharType="begin"/>
            </w:r>
            <w:r w:rsidR="004F5C2B">
              <w:rPr>
                <w:noProof/>
                <w:webHidden/>
              </w:rPr>
              <w:instrText xml:space="preserve"> PAGEREF _Toc143179787 \h </w:instrText>
            </w:r>
            <w:r w:rsidR="004F5C2B">
              <w:rPr>
                <w:noProof/>
                <w:webHidden/>
              </w:rPr>
            </w:r>
            <w:r w:rsidR="004F5C2B">
              <w:rPr>
                <w:noProof/>
                <w:webHidden/>
              </w:rPr>
              <w:fldChar w:fldCharType="separate"/>
            </w:r>
            <w:r w:rsidR="004F5C2B">
              <w:rPr>
                <w:noProof/>
                <w:webHidden/>
              </w:rPr>
              <w:t>15</w:t>
            </w:r>
            <w:r w:rsidR="004F5C2B">
              <w:rPr>
                <w:noProof/>
                <w:webHidden/>
              </w:rPr>
              <w:fldChar w:fldCharType="end"/>
            </w:r>
          </w:hyperlink>
        </w:p>
        <w:p w14:paraId="319C5889" w14:textId="7340A372"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88" w:history="1">
            <w:r w:rsidR="004F5C2B" w:rsidRPr="004B37E1">
              <w:rPr>
                <w:rStyle w:val="Hyperlink"/>
                <w:noProof/>
              </w:rPr>
              <w:t>2.B.5</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Crude Oil Sales and Proceeds</w:t>
            </w:r>
            <w:r w:rsidR="004F5C2B">
              <w:rPr>
                <w:noProof/>
                <w:webHidden/>
              </w:rPr>
              <w:tab/>
            </w:r>
            <w:r w:rsidR="004F5C2B">
              <w:rPr>
                <w:noProof/>
                <w:webHidden/>
              </w:rPr>
              <w:fldChar w:fldCharType="begin"/>
            </w:r>
            <w:r w:rsidR="004F5C2B">
              <w:rPr>
                <w:noProof/>
                <w:webHidden/>
              </w:rPr>
              <w:instrText xml:space="preserve"> PAGEREF _Toc143179788 \h </w:instrText>
            </w:r>
            <w:r w:rsidR="004F5C2B">
              <w:rPr>
                <w:noProof/>
                <w:webHidden/>
              </w:rPr>
            </w:r>
            <w:r w:rsidR="004F5C2B">
              <w:rPr>
                <w:noProof/>
                <w:webHidden/>
              </w:rPr>
              <w:fldChar w:fldCharType="separate"/>
            </w:r>
            <w:r w:rsidR="004F5C2B">
              <w:rPr>
                <w:noProof/>
                <w:webHidden/>
              </w:rPr>
              <w:t>16</w:t>
            </w:r>
            <w:r w:rsidR="004F5C2B">
              <w:rPr>
                <w:noProof/>
                <w:webHidden/>
              </w:rPr>
              <w:fldChar w:fldCharType="end"/>
            </w:r>
          </w:hyperlink>
        </w:p>
        <w:p w14:paraId="55FD5E2E" w14:textId="5CFA0152"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89" w:history="1">
            <w:r w:rsidR="004F5C2B" w:rsidRPr="004B37E1">
              <w:rPr>
                <w:rStyle w:val="Hyperlink"/>
                <w:noProof/>
              </w:rPr>
              <w:t>2.B.6</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Broader Mineral Sector Performance Outlook</w:t>
            </w:r>
            <w:r w:rsidR="004F5C2B">
              <w:rPr>
                <w:noProof/>
                <w:webHidden/>
              </w:rPr>
              <w:tab/>
            </w:r>
            <w:r w:rsidR="004F5C2B">
              <w:rPr>
                <w:noProof/>
                <w:webHidden/>
              </w:rPr>
              <w:fldChar w:fldCharType="begin"/>
            </w:r>
            <w:r w:rsidR="004F5C2B">
              <w:rPr>
                <w:noProof/>
                <w:webHidden/>
              </w:rPr>
              <w:instrText xml:space="preserve"> PAGEREF _Toc143179789 \h </w:instrText>
            </w:r>
            <w:r w:rsidR="004F5C2B">
              <w:rPr>
                <w:noProof/>
                <w:webHidden/>
              </w:rPr>
            </w:r>
            <w:r w:rsidR="004F5C2B">
              <w:rPr>
                <w:noProof/>
                <w:webHidden/>
              </w:rPr>
              <w:fldChar w:fldCharType="separate"/>
            </w:r>
            <w:r w:rsidR="004F5C2B">
              <w:rPr>
                <w:noProof/>
                <w:webHidden/>
              </w:rPr>
              <w:t>16</w:t>
            </w:r>
            <w:r w:rsidR="004F5C2B">
              <w:rPr>
                <w:noProof/>
                <w:webHidden/>
              </w:rPr>
              <w:fldChar w:fldCharType="end"/>
            </w:r>
          </w:hyperlink>
        </w:p>
        <w:p w14:paraId="7412DF74" w14:textId="29688B31"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90" w:history="1">
            <w:r w:rsidR="004F5C2B" w:rsidRPr="004B37E1">
              <w:rPr>
                <w:rStyle w:val="Hyperlink"/>
                <w:noProof/>
              </w:rPr>
              <w:t>2.C</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Kaduna State Economy</w:t>
            </w:r>
            <w:r w:rsidR="004F5C2B">
              <w:rPr>
                <w:noProof/>
                <w:webHidden/>
              </w:rPr>
              <w:tab/>
            </w:r>
            <w:r w:rsidR="004F5C2B">
              <w:rPr>
                <w:noProof/>
                <w:webHidden/>
              </w:rPr>
              <w:fldChar w:fldCharType="begin"/>
            </w:r>
            <w:r w:rsidR="004F5C2B">
              <w:rPr>
                <w:noProof/>
                <w:webHidden/>
              </w:rPr>
              <w:instrText xml:space="preserve"> PAGEREF _Toc143179790 \h </w:instrText>
            </w:r>
            <w:r w:rsidR="004F5C2B">
              <w:rPr>
                <w:noProof/>
                <w:webHidden/>
              </w:rPr>
            </w:r>
            <w:r w:rsidR="004F5C2B">
              <w:rPr>
                <w:noProof/>
                <w:webHidden/>
              </w:rPr>
              <w:fldChar w:fldCharType="separate"/>
            </w:r>
            <w:r w:rsidR="004F5C2B">
              <w:rPr>
                <w:noProof/>
                <w:webHidden/>
              </w:rPr>
              <w:t>17</w:t>
            </w:r>
            <w:r w:rsidR="004F5C2B">
              <w:rPr>
                <w:noProof/>
                <w:webHidden/>
              </w:rPr>
              <w:fldChar w:fldCharType="end"/>
            </w:r>
          </w:hyperlink>
        </w:p>
        <w:p w14:paraId="13134FB1" w14:textId="122C1F45"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91" w:history="1">
            <w:r w:rsidR="004F5C2B" w:rsidRPr="004B37E1">
              <w:rPr>
                <w:rStyle w:val="Hyperlink"/>
                <w:noProof/>
              </w:rPr>
              <w:t>2.C.1</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Kaduna GDP</w:t>
            </w:r>
            <w:r w:rsidR="004F5C2B">
              <w:rPr>
                <w:noProof/>
                <w:webHidden/>
              </w:rPr>
              <w:tab/>
            </w:r>
            <w:r w:rsidR="004F5C2B">
              <w:rPr>
                <w:noProof/>
                <w:webHidden/>
              </w:rPr>
              <w:fldChar w:fldCharType="begin"/>
            </w:r>
            <w:r w:rsidR="004F5C2B">
              <w:rPr>
                <w:noProof/>
                <w:webHidden/>
              </w:rPr>
              <w:instrText xml:space="preserve"> PAGEREF _Toc143179791 \h </w:instrText>
            </w:r>
            <w:r w:rsidR="004F5C2B">
              <w:rPr>
                <w:noProof/>
                <w:webHidden/>
              </w:rPr>
            </w:r>
            <w:r w:rsidR="004F5C2B">
              <w:rPr>
                <w:noProof/>
                <w:webHidden/>
              </w:rPr>
              <w:fldChar w:fldCharType="separate"/>
            </w:r>
            <w:r w:rsidR="004F5C2B">
              <w:rPr>
                <w:noProof/>
                <w:webHidden/>
              </w:rPr>
              <w:t>17</w:t>
            </w:r>
            <w:r w:rsidR="004F5C2B">
              <w:rPr>
                <w:noProof/>
                <w:webHidden/>
              </w:rPr>
              <w:fldChar w:fldCharType="end"/>
            </w:r>
          </w:hyperlink>
        </w:p>
        <w:p w14:paraId="66E4F82A" w14:textId="687C69DA"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92" w:history="1">
            <w:r w:rsidR="004F5C2B" w:rsidRPr="004B37E1">
              <w:rPr>
                <w:rStyle w:val="Hyperlink"/>
                <w:noProof/>
              </w:rPr>
              <w:t>2.C.2</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Kaduna CPI and IGR</w:t>
            </w:r>
            <w:r w:rsidR="004F5C2B">
              <w:rPr>
                <w:noProof/>
                <w:webHidden/>
              </w:rPr>
              <w:tab/>
            </w:r>
            <w:r w:rsidR="004F5C2B">
              <w:rPr>
                <w:noProof/>
                <w:webHidden/>
              </w:rPr>
              <w:fldChar w:fldCharType="begin"/>
            </w:r>
            <w:r w:rsidR="004F5C2B">
              <w:rPr>
                <w:noProof/>
                <w:webHidden/>
              </w:rPr>
              <w:instrText xml:space="preserve"> PAGEREF _Toc143179792 \h </w:instrText>
            </w:r>
            <w:r w:rsidR="004F5C2B">
              <w:rPr>
                <w:noProof/>
                <w:webHidden/>
              </w:rPr>
            </w:r>
            <w:r w:rsidR="004F5C2B">
              <w:rPr>
                <w:noProof/>
                <w:webHidden/>
              </w:rPr>
              <w:fldChar w:fldCharType="separate"/>
            </w:r>
            <w:r w:rsidR="004F5C2B">
              <w:rPr>
                <w:noProof/>
                <w:webHidden/>
              </w:rPr>
              <w:t>17</w:t>
            </w:r>
            <w:r w:rsidR="004F5C2B">
              <w:rPr>
                <w:noProof/>
                <w:webHidden/>
              </w:rPr>
              <w:fldChar w:fldCharType="end"/>
            </w:r>
          </w:hyperlink>
        </w:p>
        <w:p w14:paraId="79114C4E" w14:textId="40D10909"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93" w:history="1">
            <w:r w:rsidR="004F5C2B" w:rsidRPr="004B37E1">
              <w:rPr>
                <w:rStyle w:val="Hyperlink"/>
                <w:noProof/>
              </w:rPr>
              <w:t>2.C.3</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Kaduna State Debt Profile</w:t>
            </w:r>
            <w:r w:rsidR="004F5C2B">
              <w:rPr>
                <w:noProof/>
                <w:webHidden/>
              </w:rPr>
              <w:tab/>
            </w:r>
            <w:r w:rsidR="004F5C2B">
              <w:rPr>
                <w:noProof/>
                <w:webHidden/>
              </w:rPr>
              <w:fldChar w:fldCharType="begin"/>
            </w:r>
            <w:r w:rsidR="004F5C2B">
              <w:rPr>
                <w:noProof/>
                <w:webHidden/>
              </w:rPr>
              <w:instrText xml:space="preserve"> PAGEREF _Toc143179793 \h </w:instrText>
            </w:r>
            <w:r w:rsidR="004F5C2B">
              <w:rPr>
                <w:noProof/>
                <w:webHidden/>
              </w:rPr>
            </w:r>
            <w:r w:rsidR="004F5C2B">
              <w:rPr>
                <w:noProof/>
                <w:webHidden/>
              </w:rPr>
              <w:fldChar w:fldCharType="separate"/>
            </w:r>
            <w:r w:rsidR="004F5C2B">
              <w:rPr>
                <w:noProof/>
                <w:webHidden/>
              </w:rPr>
              <w:t>18</w:t>
            </w:r>
            <w:r w:rsidR="004F5C2B">
              <w:rPr>
                <w:noProof/>
                <w:webHidden/>
              </w:rPr>
              <w:fldChar w:fldCharType="end"/>
            </w:r>
          </w:hyperlink>
        </w:p>
        <w:p w14:paraId="27A93F81" w14:textId="339F822D"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94" w:history="1">
            <w:r w:rsidR="004F5C2B" w:rsidRPr="004B37E1">
              <w:rPr>
                <w:rStyle w:val="Hyperlink"/>
                <w:noProof/>
              </w:rPr>
              <w:t>2.D</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Fiscal Update</w:t>
            </w:r>
            <w:r w:rsidR="004F5C2B">
              <w:rPr>
                <w:noProof/>
                <w:webHidden/>
              </w:rPr>
              <w:tab/>
            </w:r>
            <w:r w:rsidR="004F5C2B">
              <w:rPr>
                <w:noProof/>
                <w:webHidden/>
              </w:rPr>
              <w:fldChar w:fldCharType="begin"/>
            </w:r>
            <w:r w:rsidR="004F5C2B">
              <w:rPr>
                <w:noProof/>
                <w:webHidden/>
              </w:rPr>
              <w:instrText xml:space="preserve"> PAGEREF _Toc143179794 \h </w:instrText>
            </w:r>
            <w:r w:rsidR="004F5C2B">
              <w:rPr>
                <w:noProof/>
                <w:webHidden/>
              </w:rPr>
            </w:r>
            <w:r w:rsidR="004F5C2B">
              <w:rPr>
                <w:noProof/>
                <w:webHidden/>
              </w:rPr>
              <w:fldChar w:fldCharType="separate"/>
            </w:r>
            <w:r w:rsidR="004F5C2B">
              <w:rPr>
                <w:noProof/>
                <w:webHidden/>
              </w:rPr>
              <w:t>20</w:t>
            </w:r>
            <w:r w:rsidR="004F5C2B">
              <w:rPr>
                <w:noProof/>
                <w:webHidden/>
              </w:rPr>
              <w:fldChar w:fldCharType="end"/>
            </w:r>
          </w:hyperlink>
        </w:p>
        <w:p w14:paraId="22F5F262" w14:textId="456871F7"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95" w:history="1">
            <w:r w:rsidR="004F5C2B" w:rsidRPr="004B37E1">
              <w:rPr>
                <w:rStyle w:val="Hyperlink"/>
                <w:noProof/>
              </w:rPr>
              <w:t>2.D.1</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Revenue Side</w:t>
            </w:r>
            <w:r w:rsidR="004F5C2B">
              <w:rPr>
                <w:noProof/>
                <w:webHidden/>
              </w:rPr>
              <w:tab/>
            </w:r>
            <w:r w:rsidR="004F5C2B">
              <w:rPr>
                <w:noProof/>
                <w:webHidden/>
              </w:rPr>
              <w:fldChar w:fldCharType="begin"/>
            </w:r>
            <w:r w:rsidR="004F5C2B">
              <w:rPr>
                <w:noProof/>
                <w:webHidden/>
              </w:rPr>
              <w:instrText xml:space="preserve"> PAGEREF _Toc143179795 \h </w:instrText>
            </w:r>
            <w:r w:rsidR="004F5C2B">
              <w:rPr>
                <w:noProof/>
                <w:webHidden/>
              </w:rPr>
            </w:r>
            <w:r w:rsidR="004F5C2B">
              <w:rPr>
                <w:noProof/>
                <w:webHidden/>
              </w:rPr>
              <w:fldChar w:fldCharType="separate"/>
            </w:r>
            <w:r w:rsidR="004F5C2B">
              <w:rPr>
                <w:noProof/>
                <w:webHidden/>
              </w:rPr>
              <w:t>20</w:t>
            </w:r>
            <w:r w:rsidR="004F5C2B">
              <w:rPr>
                <w:noProof/>
                <w:webHidden/>
              </w:rPr>
              <w:fldChar w:fldCharType="end"/>
            </w:r>
          </w:hyperlink>
        </w:p>
        <w:p w14:paraId="50606E1F" w14:textId="4EBC517D"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96" w:history="1">
            <w:r w:rsidR="004F5C2B" w:rsidRPr="004B37E1">
              <w:rPr>
                <w:rStyle w:val="Hyperlink"/>
                <w:noProof/>
              </w:rPr>
              <w:t>2.D.2</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Expenditure Side</w:t>
            </w:r>
            <w:r w:rsidR="004F5C2B">
              <w:rPr>
                <w:noProof/>
                <w:webHidden/>
              </w:rPr>
              <w:tab/>
            </w:r>
            <w:r w:rsidR="004F5C2B">
              <w:rPr>
                <w:noProof/>
                <w:webHidden/>
              </w:rPr>
              <w:fldChar w:fldCharType="begin"/>
            </w:r>
            <w:r w:rsidR="004F5C2B">
              <w:rPr>
                <w:noProof/>
                <w:webHidden/>
              </w:rPr>
              <w:instrText xml:space="preserve"> PAGEREF _Toc143179796 \h </w:instrText>
            </w:r>
            <w:r w:rsidR="004F5C2B">
              <w:rPr>
                <w:noProof/>
                <w:webHidden/>
              </w:rPr>
            </w:r>
            <w:r w:rsidR="004F5C2B">
              <w:rPr>
                <w:noProof/>
                <w:webHidden/>
              </w:rPr>
              <w:fldChar w:fldCharType="separate"/>
            </w:r>
            <w:r w:rsidR="004F5C2B">
              <w:rPr>
                <w:noProof/>
                <w:webHidden/>
              </w:rPr>
              <w:t>24</w:t>
            </w:r>
            <w:r w:rsidR="004F5C2B">
              <w:rPr>
                <w:noProof/>
                <w:webHidden/>
              </w:rPr>
              <w:fldChar w:fldCharType="end"/>
            </w:r>
          </w:hyperlink>
        </w:p>
        <w:p w14:paraId="1E6D70E8" w14:textId="07534201"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97" w:history="1">
            <w:r w:rsidR="004F5C2B" w:rsidRPr="004B37E1">
              <w:rPr>
                <w:rStyle w:val="Hyperlink"/>
                <w:noProof/>
              </w:rPr>
              <w:t>2.D.3</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By Sector</w:t>
            </w:r>
            <w:r w:rsidR="004F5C2B">
              <w:rPr>
                <w:noProof/>
                <w:webHidden/>
              </w:rPr>
              <w:tab/>
            </w:r>
            <w:r w:rsidR="004F5C2B">
              <w:rPr>
                <w:noProof/>
                <w:webHidden/>
              </w:rPr>
              <w:fldChar w:fldCharType="begin"/>
            </w:r>
            <w:r w:rsidR="004F5C2B">
              <w:rPr>
                <w:noProof/>
                <w:webHidden/>
              </w:rPr>
              <w:instrText xml:space="preserve"> PAGEREF _Toc143179797 \h </w:instrText>
            </w:r>
            <w:r w:rsidR="004F5C2B">
              <w:rPr>
                <w:noProof/>
                <w:webHidden/>
              </w:rPr>
            </w:r>
            <w:r w:rsidR="004F5C2B">
              <w:rPr>
                <w:noProof/>
                <w:webHidden/>
              </w:rPr>
              <w:fldChar w:fldCharType="separate"/>
            </w:r>
            <w:r w:rsidR="004F5C2B">
              <w:rPr>
                <w:noProof/>
                <w:webHidden/>
              </w:rPr>
              <w:t>28</w:t>
            </w:r>
            <w:r w:rsidR="004F5C2B">
              <w:rPr>
                <w:noProof/>
                <w:webHidden/>
              </w:rPr>
              <w:fldChar w:fldCharType="end"/>
            </w:r>
          </w:hyperlink>
        </w:p>
        <w:p w14:paraId="67913F5B" w14:textId="4EFC5CE5"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98" w:history="1">
            <w:r w:rsidR="004F5C2B" w:rsidRPr="004B37E1">
              <w:rPr>
                <w:rStyle w:val="Hyperlink"/>
                <w:noProof/>
              </w:rPr>
              <w:t>2.D.4</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Debt Position</w:t>
            </w:r>
            <w:r w:rsidR="004F5C2B">
              <w:rPr>
                <w:noProof/>
                <w:webHidden/>
              </w:rPr>
              <w:tab/>
            </w:r>
            <w:r w:rsidR="004F5C2B">
              <w:rPr>
                <w:noProof/>
                <w:webHidden/>
              </w:rPr>
              <w:fldChar w:fldCharType="begin"/>
            </w:r>
            <w:r w:rsidR="004F5C2B">
              <w:rPr>
                <w:noProof/>
                <w:webHidden/>
              </w:rPr>
              <w:instrText xml:space="preserve"> PAGEREF _Toc143179798 \h </w:instrText>
            </w:r>
            <w:r w:rsidR="004F5C2B">
              <w:rPr>
                <w:noProof/>
                <w:webHidden/>
              </w:rPr>
            </w:r>
            <w:r w:rsidR="004F5C2B">
              <w:rPr>
                <w:noProof/>
                <w:webHidden/>
              </w:rPr>
              <w:fldChar w:fldCharType="separate"/>
            </w:r>
            <w:r w:rsidR="004F5C2B">
              <w:rPr>
                <w:noProof/>
                <w:webHidden/>
              </w:rPr>
              <w:t>31</w:t>
            </w:r>
            <w:r w:rsidR="004F5C2B">
              <w:rPr>
                <w:noProof/>
                <w:webHidden/>
              </w:rPr>
              <w:fldChar w:fldCharType="end"/>
            </w:r>
          </w:hyperlink>
        </w:p>
        <w:p w14:paraId="4A388669" w14:textId="48A04333" w:rsidR="004F5C2B" w:rsidRDefault="00000000">
          <w:pPr>
            <w:pStyle w:val="TOC1"/>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799" w:history="1">
            <w:r w:rsidR="004F5C2B" w:rsidRPr="004B37E1">
              <w:rPr>
                <w:rStyle w:val="Hyperlink"/>
                <w:noProof/>
              </w:rPr>
              <w:t>Section 3</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Fiscal Strategy Paper</w:t>
            </w:r>
            <w:r w:rsidR="004F5C2B">
              <w:rPr>
                <w:noProof/>
                <w:webHidden/>
              </w:rPr>
              <w:tab/>
            </w:r>
            <w:r w:rsidR="004F5C2B">
              <w:rPr>
                <w:noProof/>
                <w:webHidden/>
              </w:rPr>
              <w:fldChar w:fldCharType="begin"/>
            </w:r>
            <w:r w:rsidR="004F5C2B">
              <w:rPr>
                <w:noProof/>
                <w:webHidden/>
              </w:rPr>
              <w:instrText xml:space="preserve"> PAGEREF _Toc143179799 \h </w:instrText>
            </w:r>
            <w:r w:rsidR="004F5C2B">
              <w:rPr>
                <w:noProof/>
                <w:webHidden/>
              </w:rPr>
            </w:r>
            <w:r w:rsidR="004F5C2B">
              <w:rPr>
                <w:noProof/>
                <w:webHidden/>
              </w:rPr>
              <w:fldChar w:fldCharType="separate"/>
            </w:r>
            <w:r w:rsidR="004F5C2B">
              <w:rPr>
                <w:noProof/>
                <w:webHidden/>
              </w:rPr>
              <w:t>32</w:t>
            </w:r>
            <w:r w:rsidR="004F5C2B">
              <w:rPr>
                <w:noProof/>
                <w:webHidden/>
              </w:rPr>
              <w:fldChar w:fldCharType="end"/>
            </w:r>
          </w:hyperlink>
        </w:p>
        <w:p w14:paraId="758949C0" w14:textId="701D41DC"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00" w:history="1">
            <w:r w:rsidR="004F5C2B" w:rsidRPr="004B37E1">
              <w:rPr>
                <w:rStyle w:val="Hyperlink"/>
                <w:noProof/>
              </w:rPr>
              <w:t>3.A</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Macroeconomic Framework</w:t>
            </w:r>
            <w:r w:rsidR="004F5C2B">
              <w:rPr>
                <w:noProof/>
                <w:webHidden/>
              </w:rPr>
              <w:tab/>
            </w:r>
            <w:r w:rsidR="004F5C2B">
              <w:rPr>
                <w:noProof/>
                <w:webHidden/>
              </w:rPr>
              <w:fldChar w:fldCharType="begin"/>
            </w:r>
            <w:r w:rsidR="004F5C2B">
              <w:rPr>
                <w:noProof/>
                <w:webHidden/>
              </w:rPr>
              <w:instrText xml:space="preserve"> PAGEREF _Toc143179800 \h </w:instrText>
            </w:r>
            <w:r w:rsidR="004F5C2B">
              <w:rPr>
                <w:noProof/>
                <w:webHidden/>
              </w:rPr>
            </w:r>
            <w:r w:rsidR="004F5C2B">
              <w:rPr>
                <w:noProof/>
                <w:webHidden/>
              </w:rPr>
              <w:fldChar w:fldCharType="separate"/>
            </w:r>
            <w:r w:rsidR="004F5C2B">
              <w:rPr>
                <w:noProof/>
                <w:webHidden/>
              </w:rPr>
              <w:t>32</w:t>
            </w:r>
            <w:r w:rsidR="004F5C2B">
              <w:rPr>
                <w:noProof/>
                <w:webHidden/>
              </w:rPr>
              <w:fldChar w:fldCharType="end"/>
            </w:r>
          </w:hyperlink>
        </w:p>
        <w:p w14:paraId="2EDF4243" w14:textId="7FFDD6DF"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01" w:history="1">
            <w:r w:rsidR="004F5C2B" w:rsidRPr="004B37E1">
              <w:rPr>
                <w:rStyle w:val="Hyperlink"/>
                <w:noProof/>
              </w:rPr>
              <w:t>3.B</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Fiscal Strategy and Assumptions</w:t>
            </w:r>
            <w:r w:rsidR="004F5C2B">
              <w:rPr>
                <w:noProof/>
                <w:webHidden/>
              </w:rPr>
              <w:tab/>
            </w:r>
            <w:r w:rsidR="004F5C2B">
              <w:rPr>
                <w:noProof/>
                <w:webHidden/>
              </w:rPr>
              <w:fldChar w:fldCharType="begin"/>
            </w:r>
            <w:r w:rsidR="004F5C2B">
              <w:rPr>
                <w:noProof/>
                <w:webHidden/>
              </w:rPr>
              <w:instrText xml:space="preserve"> PAGEREF _Toc143179801 \h </w:instrText>
            </w:r>
            <w:r w:rsidR="004F5C2B">
              <w:rPr>
                <w:noProof/>
                <w:webHidden/>
              </w:rPr>
            </w:r>
            <w:r w:rsidR="004F5C2B">
              <w:rPr>
                <w:noProof/>
                <w:webHidden/>
              </w:rPr>
              <w:fldChar w:fldCharType="separate"/>
            </w:r>
            <w:r w:rsidR="004F5C2B">
              <w:rPr>
                <w:noProof/>
                <w:webHidden/>
              </w:rPr>
              <w:t>33</w:t>
            </w:r>
            <w:r w:rsidR="004F5C2B">
              <w:rPr>
                <w:noProof/>
                <w:webHidden/>
              </w:rPr>
              <w:fldChar w:fldCharType="end"/>
            </w:r>
          </w:hyperlink>
        </w:p>
        <w:p w14:paraId="45FDD364" w14:textId="3A924A56"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02" w:history="1">
            <w:r w:rsidR="004F5C2B" w:rsidRPr="004B37E1">
              <w:rPr>
                <w:rStyle w:val="Hyperlink"/>
                <w:noProof/>
              </w:rPr>
              <w:t>3.B.1</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Policy Statement</w:t>
            </w:r>
            <w:r w:rsidR="004F5C2B">
              <w:rPr>
                <w:noProof/>
                <w:webHidden/>
              </w:rPr>
              <w:tab/>
            </w:r>
            <w:r w:rsidR="004F5C2B">
              <w:rPr>
                <w:noProof/>
                <w:webHidden/>
              </w:rPr>
              <w:fldChar w:fldCharType="begin"/>
            </w:r>
            <w:r w:rsidR="004F5C2B">
              <w:rPr>
                <w:noProof/>
                <w:webHidden/>
              </w:rPr>
              <w:instrText xml:space="preserve"> PAGEREF _Toc143179802 \h </w:instrText>
            </w:r>
            <w:r w:rsidR="004F5C2B">
              <w:rPr>
                <w:noProof/>
                <w:webHidden/>
              </w:rPr>
            </w:r>
            <w:r w:rsidR="004F5C2B">
              <w:rPr>
                <w:noProof/>
                <w:webHidden/>
              </w:rPr>
              <w:fldChar w:fldCharType="separate"/>
            </w:r>
            <w:r w:rsidR="004F5C2B">
              <w:rPr>
                <w:noProof/>
                <w:webHidden/>
              </w:rPr>
              <w:t>33</w:t>
            </w:r>
            <w:r w:rsidR="004F5C2B">
              <w:rPr>
                <w:noProof/>
                <w:webHidden/>
              </w:rPr>
              <w:fldChar w:fldCharType="end"/>
            </w:r>
          </w:hyperlink>
        </w:p>
        <w:p w14:paraId="35A36F02" w14:textId="2DF4985A"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03" w:history="1">
            <w:r w:rsidR="004F5C2B" w:rsidRPr="004B37E1">
              <w:rPr>
                <w:rStyle w:val="Hyperlink"/>
                <w:noProof/>
              </w:rPr>
              <w:t>3.B.2</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Objectives and Targets</w:t>
            </w:r>
            <w:r w:rsidR="004F5C2B">
              <w:rPr>
                <w:noProof/>
                <w:webHidden/>
              </w:rPr>
              <w:tab/>
            </w:r>
            <w:r w:rsidR="004F5C2B">
              <w:rPr>
                <w:noProof/>
                <w:webHidden/>
              </w:rPr>
              <w:fldChar w:fldCharType="begin"/>
            </w:r>
            <w:r w:rsidR="004F5C2B">
              <w:rPr>
                <w:noProof/>
                <w:webHidden/>
              </w:rPr>
              <w:instrText xml:space="preserve"> PAGEREF _Toc143179803 \h </w:instrText>
            </w:r>
            <w:r w:rsidR="004F5C2B">
              <w:rPr>
                <w:noProof/>
                <w:webHidden/>
              </w:rPr>
            </w:r>
            <w:r w:rsidR="004F5C2B">
              <w:rPr>
                <w:noProof/>
                <w:webHidden/>
              </w:rPr>
              <w:fldChar w:fldCharType="separate"/>
            </w:r>
            <w:r w:rsidR="004F5C2B">
              <w:rPr>
                <w:noProof/>
                <w:webHidden/>
              </w:rPr>
              <w:t>34</w:t>
            </w:r>
            <w:r w:rsidR="004F5C2B">
              <w:rPr>
                <w:noProof/>
                <w:webHidden/>
              </w:rPr>
              <w:fldChar w:fldCharType="end"/>
            </w:r>
          </w:hyperlink>
        </w:p>
        <w:p w14:paraId="59E664BC" w14:textId="292D6F47"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04" w:history="1">
            <w:r w:rsidR="004F5C2B" w:rsidRPr="004B37E1">
              <w:rPr>
                <w:rStyle w:val="Hyperlink"/>
                <w:noProof/>
              </w:rPr>
              <w:t>3.C</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Indicative Three-Year Fiscal Framework</w:t>
            </w:r>
            <w:r w:rsidR="004F5C2B">
              <w:rPr>
                <w:noProof/>
                <w:webHidden/>
              </w:rPr>
              <w:tab/>
            </w:r>
            <w:r w:rsidR="004F5C2B">
              <w:rPr>
                <w:noProof/>
                <w:webHidden/>
              </w:rPr>
              <w:fldChar w:fldCharType="begin"/>
            </w:r>
            <w:r w:rsidR="004F5C2B">
              <w:rPr>
                <w:noProof/>
                <w:webHidden/>
              </w:rPr>
              <w:instrText xml:space="preserve"> PAGEREF _Toc143179804 \h </w:instrText>
            </w:r>
            <w:r w:rsidR="004F5C2B">
              <w:rPr>
                <w:noProof/>
                <w:webHidden/>
              </w:rPr>
            </w:r>
            <w:r w:rsidR="004F5C2B">
              <w:rPr>
                <w:noProof/>
                <w:webHidden/>
              </w:rPr>
              <w:fldChar w:fldCharType="separate"/>
            </w:r>
            <w:r w:rsidR="004F5C2B">
              <w:rPr>
                <w:noProof/>
                <w:webHidden/>
              </w:rPr>
              <w:t>35</w:t>
            </w:r>
            <w:r w:rsidR="004F5C2B">
              <w:rPr>
                <w:noProof/>
                <w:webHidden/>
              </w:rPr>
              <w:fldChar w:fldCharType="end"/>
            </w:r>
          </w:hyperlink>
        </w:p>
        <w:p w14:paraId="76B3654C" w14:textId="5DFCF61F" w:rsidR="004F5C2B" w:rsidRDefault="00000000">
          <w:pPr>
            <w:pStyle w:val="TOC3"/>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05" w:history="1">
            <w:r w:rsidR="004F5C2B" w:rsidRPr="004B37E1">
              <w:rPr>
                <w:rStyle w:val="Hyperlink"/>
                <w:noProof/>
              </w:rPr>
              <w:t>3.C.1</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Assumptions</w:t>
            </w:r>
            <w:r w:rsidR="004F5C2B">
              <w:rPr>
                <w:noProof/>
                <w:webHidden/>
              </w:rPr>
              <w:tab/>
            </w:r>
            <w:r w:rsidR="004F5C2B">
              <w:rPr>
                <w:noProof/>
                <w:webHidden/>
              </w:rPr>
              <w:fldChar w:fldCharType="begin"/>
            </w:r>
            <w:r w:rsidR="004F5C2B">
              <w:rPr>
                <w:noProof/>
                <w:webHidden/>
              </w:rPr>
              <w:instrText xml:space="preserve"> PAGEREF _Toc143179805 \h </w:instrText>
            </w:r>
            <w:r w:rsidR="004F5C2B">
              <w:rPr>
                <w:noProof/>
                <w:webHidden/>
              </w:rPr>
            </w:r>
            <w:r w:rsidR="004F5C2B">
              <w:rPr>
                <w:noProof/>
                <w:webHidden/>
              </w:rPr>
              <w:fldChar w:fldCharType="separate"/>
            </w:r>
            <w:r w:rsidR="004F5C2B">
              <w:rPr>
                <w:noProof/>
                <w:webHidden/>
              </w:rPr>
              <w:t>35</w:t>
            </w:r>
            <w:r w:rsidR="004F5C2B">
              <w:rPr>
                <w:noProof/>
                <w:webHidden/>
              </w:rPr>
              <w:fldChar w:fldCharType="end"/>
            </w:r>
          </w:hyperlink>
        </w:p>
        <w:p w14:paraId="5B420F1E" w14:textId="1B389391"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06" w:history="1">
            <w:r w:rsidR="004F5C2B" w:rsidRPr="004B37E1">
              <w:rPr>
                <w:rStyle w:val="Hyperlink"/>
                <w:noProof/>
              </w:rPr>
              <w:t>3.D</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Fiscal Trend</w:t>
            </w:r>
            <w:r w:rsidR="004F5C2B">
              <w:rPr>
                <w:noProof/>
                <w:webHidden/>
              </w:rPr>
              <w:tab/>
            </w:r>
            <w:r w:rsidR="004F5C2B">
              <w:rPr>
                <w:noProof/>
                <w:webHidden/>
              </w:rPr>
              <w:fldChar w:fldCharType="begin"/>
            </w:r>
            <w:r w:rsidR="004F5C2B">
              <w:rPr>
                <w:noProof/>
                <w:webHidden/>
              </w:rPr>
              <w:instrText xml:space="preserve"> PAGEREF _Toc143179806 \h </w:instrText>
            </w:r>
            <w:r w:rsidR="004F5C2B">
              <w:rPr>
                <w:noProof/>
                <w:webHidden/>
              </w:rPr>
            </w:r>
            <w:r w:rsidR="004F5C2B">
              <w:rPr>
                <w:noProof/>
                <w:webHidden/>
              </w:rPr>
              <w:fldChar w:fldCharType="separate"/>
            </w:r>
            <w:r w:rsidR="004F5C2B">
              <w:rPr>
                <w:noProof/>
                <w:webHidden/>
              </w:rPr>
              <w:t>38</w:t>
            </w:r>
            <w:r w:rsidR="004F5C2B">
              <w:rPr>
                <w:noProof/>
                <w:webHidden/>
              </w:rPr>
              <w:fldChar w:fldCharType="end"/>
            </w:r>
          </w:hyperlink>
        </w:p>
        <w:p w14:paraId="104ACB24" w14:textId="3F652EC9"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07" w:history="1">
            <w:r w:rsidR="004F5C2B" w:rsidRPr="004B37E1">
              <w:rPr>
                <w:rStyle w:val="Hyperlink"/>
                <w:noProof/>
              </w:rPr>
              <w:t>3.E</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Fiscal Risks</w:t>
            </w:r>
            <w:r w:rsidR="004F5C2B">
              <w:rPr>
                <w:noProof/>
                <w:webHidden/>
              </w:rPr>
              <w:tab/>
            </w:r>
            <w:r w:rsidR="004F5C2B">
              <w:rPr>
                <w:noProof/>
                <w:webHidden/>
              </w:rPr>
              <w:fldChar w:fldCharType="begin"/>
            </w:r>
            <w:r w:rsidR="004F5C2B">
              <w:rPr>
                <w:noProof/>
                <w:webHidden/>
              </w:rPr>
              <w:instrText xml:space="preserve"> PAGEREF _Toc143179807 \h </w:instrText>
            </w:r>
            <w:r w:rsidR="004F5C2B">
              <w:rPr>
                <w:noProof/>
                <w:webHidden/>
              </w:rPr>
            </w:r>
            <w:r w:rsidR="004F5C2B">
              <w:rPr>
                <w:noProof/>
                <w:webHidden/>
              </w:rPr>
              <w:fldChar w:fldCharType="separate"/>
            </w:r>
            <w:r w:rsidR="004F5C2B">
              <w:rPr>
                <w:noProof/>
                <w:webHidden/>
              </w:rPr>
              <w:t>40</w:t>
            </w:r>
            <w:r w:rsidR="004F5C2B">
              <w:rPr>
                <w:noProof/>
                <w:webHidden/>
              </w:rPr>
              <w:fldChar w:fldCharType="end"/>
            </w:r>
          </w:hyperlink>
        </w:p>
        <w:p w14:paraId="205FE45E" w14:textId="73DFFEF6"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08" w:history="1">
            <w:r w:rsidR="004F5C2B" w:rsidRPr="004B37E1">
              <w:rPr>
                <w:rStyle w:val="Hyperlink"/>
                <w:noProof/>
              </w:rPr>
              <w:t>3.F</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Local Government Forecasts</w:t>
            </w:r>
            <w:r w:rsidR="004F5C2B">
              <w:rPr>
                <w:noProof/>
                <w:webHidden/>
              </w:rPr>
              <w:tab/>
            </w:r>
            <w:r w:rsidR="004F5C2B">
              <w:rPr>
                <w:noProof/>
                <w:webHidden/>
              </w:rPr>
              <w:fldChar w:fldCharType="begin"/>
            </w:r>
            <w:r w:rsidR="004F5C2B">
              <w:rPr>
                <w:noProof/>
                <w:webHidden/>
              </w:rPr>
              <w:instrText xml:space="preserve"> PAGEREF _Toc143179808 \h </w:instrText>
            </w:r>
            <w:r w:rsidR="004F5C2B">
              <w:rPr>
                <w:noProof/>
                <w:webHidden/>
              </w:rPr>
            </w:r>
            <w:r w:rsidR="004F5C2B">
              <w:rPr>
                <w:noProof/>
                <w:webHidden/>
              </w:rPr>
              <w:fldChar w:fldCharType="separate"/>
            </w:r>
            <w:r w:rsidR="004F5C2B">
              <w:rPr>
                <w:noProof/>
                <w:webHidden/>
              </w:rPr>
              <w:t>41</w:t>
            </w:r>
            <w:r w:rsidR="004F5C2B">
              <w:rPr>
                <w:noProof/>
                <w:webHidden/>
              </w:rPr>
              <w:fldChar w:fldCharType="end"/>
            </w:r>
          </w:hyperlink>
        </w:p>
        <w:p w14:paraId="19C8BE25" w14:textId="051F7836" w:rsidR="004F5C2B" w:rsidRDefault="00000000">
          <w:pPr>
            <w:pStyle w:val="TOC1"/>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09" w:history="1">
            <w:r w:rsidR="004F5C2B" w:rsidRPr="004B37E1">
              <w:rPr>
                <w:rStyle w:val="Hyperlink"/>
                <w:noProof/>
              </w:rPr>
              <w:t>Section 4</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Budget Policy Statement</w:t>
            </w:r>
            <w:r w:rsidR="004F5C2B">
              <w:rPr>
                <w:noProof/>
                <w:webHidden/>
              </w:rPr>
              <w:tab/>
            </w:r>
            <w:r w:rsidR="004F5C2B">
              <w:rPr>
                <w:noProof/>
                <w:webHidden/>
              </w:rPr>
              <w:fldChar w:fldCharType="begin"/>
            </w:r>
            <w:r w:rsidR="004F5C2B">
              <w:rPr>
                <w:noProof/>
                <w:webHidden/>
              </w:rPr>
              <w:instrText xml:space="preserve"> PAGEREF _Toc143179809 \h </w:instrText>
            </w:r>
            <w:r w:rsidR="004F5C2B">
              <w:rPr>
                <w:noProof/>
                <w:webHidden/>
              </w:rPr>
            </w:r>
            <w:r w:rsidR="004F5C2B">
              <w:rPr>
                <w:noProof/>
                <w:webHidden/>
              </w:rPr>
              <w:fldChar w:fldCharType="separate"/>
            </w:r>
            <w:r w:rsidR="004F5C2B">
              <w:rPr>
                <w:noProof/>
                <w:webHidden/>
              </w:rPr>
              <w:t>44</w:t>
            </w:r>
            <w:r w:rsidR="004F5C2B">
              <w:rPr>
                <w:noProof/>
                <w:webHidden/>
              </w:rPr>
              <w:fldChar w:fldCharType="end"/>
            </w:r>
          </w:hyperlink>
        </w:p>
        <w:p w14:paraId="45335CAB" w14:textId="50638843"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10" w:history="1">
            <w:r w:rsidR="004F5C2B" w:rsidRPr="004B37E1">
              <w:rPr>
                <w:rStyle w:val="Hyperlink"/>
                <w:noProof/>
              </w:rPr>
              <w:t>4.A</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Budget Policy Thrust</w:t>
            </w:r>
            <w:r w:rsidR="004F5C2B">
              <w:rPr>
                <w:noProof/>
                <w:webHidden/>
              </w:rPr>
              <w:tab/>
            </w:r>
            <w:r w:rsidR="004F5C2B">
              <w:rPr>
                <w:noProof/>
                <w:webHidden/>
              </w:rPr>
              <w:fldChar w:fldCharType="begin"/>
            </w:r>
            <w:r w:rsidR="004F5C2B">
              <w:rPr>
                <w:noProof/>
                <w:webHidden/>
              </w:rPr>
              <w:instrText xml:space="preserve"> PAGEREF _Toc143179810 \h </w:instrText>
            </w:r>
            <w:r w:rsidR="004F5C2B">
              <w:rPr>
                <w:noProof/>
                <w:webHidden/>
              </w:rPr>
            </w:r>
            <w:r w:rsidR="004F5C2B">
              <w:rPr>
                <w:noProof/>
                <w:webHidden/>
              </w:rPr>
              <w:fldChar w:fldCharType="separate"/>
            </w:r>
            <w:r w:rsidR="004F5C2B">
              <w:rPr>
                <w:noProof/>
                <w:webHidden/>
              </w:rPr>
              <w:t>44</w:t>
            </w:r>
            <w:r w:rsidR="004F5C2B">
              <w:rPr>
                <w:noProof/>
                <w:webHidden/>
              </w:rPr>
              <w:fldChar w:fldCharType="end"/>
            </w:r>
          </w:hyperlink>
        </w:p>
        <w:p w14:paraId="5E76F40C" w14:textId="3D1449AE"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11" w:history="1">
            <w:r w:rsidR="004F5C2B" w:rsidRPr="004B37E1">
              <w:rPr>
                <w:rStyle w:val="Hyperlink"/>
                <w:noProof/>
              </w:rPr>
              <w:t>4.B</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Sector Allocations (3 Year)</w:t>
            </w:r>
            <w:r w:rsidR="004F5C2B">
              <w:rPr>
                <w:noProof/>
                <w:webHidden/>
              </w:rPr>
              <w:tab/>
            </w:r>
            <w:r w:rsidR="004F5C2B">
              <w:rPr>
                <w:noProof/>
                <w:webHidden/>
              </w:rPr>
              <w:fldChar w:fldCharType="begin"/>
            </w:r>
            <w:r w:rsidR="004F5C2B">
              <w:rPr>
                <w:noProof/>
                <w:webHidden/>
              </w:rPr>
              <w:instrText xml:space="preserve"> PAGEREF _Toc143179811 \h </w:instrText>
            </w:r>
            <w:r w:rsidR="004F5C2B">
              <w:rPr>
                <w:noProof/>
                <w:webHidden/>
              </w:rPr>
            </w:r>
            <w:r w:rsidR="004F5C2B">
              <w:rPr>
                <w:noProof/>
                <w:webHidden/>
              </w:rPr>
              <w:fldChar w:fldCharType="separate"/>
            </w:r>
            <w:r w:rsidR="004F5C2B">
              <w:rPr>
                <w:noProof/>
                <w:webHidden/>
              </w:rPr>
              <w:t>44</w:t>
            </w:r>
            <w:r w:rsidR="004F5C2B">
              <w:rPr>
                <w:noProof/>
                <w:webHidden/>
              </w:rPr>
              <w:fldChar w:fldCharType="end"/>
            </w:r>
          </w:hyperlink>
        </w:p>
        <w:p w14:paraId="147D47BB" w14:textId="4B666678" w:rsidR="004F5C2B" w:rsidRDefault="00000000">
          <w:pPr>
            <w:pStyle w:val="TOC2"/>
            <w:tabs>
              <w:tab w:val="left" w:pos="88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12" w:history="1">
            <w:r w:rsidR="004F5C2B" w:rsidRPr="004B37E1">
              <w:rPr>
                <w:rStyle w:val="Hyperlink"/>
                <w:noProof/>
              </w:rPr>
              <w:t>4.C</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Considerations for the Annual Budget Process</w:t>
            </w:r>
            <w:r w:rsidR="004F5C2B">
              <w:rPr>
                <w:noProof/>
                <w:webHidden/>
              </w:rPr>
              <w:tab/>
            </w:r>
            <w:r w:rsidR="004F5C2B">
              <w:rPr>
                <w:noProof/>
                <w:webHidden/>
              </w:rPr>
              <w:fldChar w:fldCharType="begin"/>
            </w:r>
            <w:r w:rsidR="004F5C2B">
              <w:rPr>
                <w:noProof/>
                <w:webHidden/>
              </w:rPr>
              <w:instrText xml:space="preserve"> PAGEREF _Toc143179812 \h </w:instrText>
            </w:r>
            <w:r w:rsidR="004F5C2B">
              <w:rPr>
                <w:noProof/>
                <w:webHidden/>
              </w:rPr>
            </w:r>
            <w:r w:rsidR="004F5C2B">
              <w:rPr>
                <w:noProof/>
                <w:webHidden/>
              </w:rPr>
              <w:fldChar w:fldCharType="separate"/>
            </w:r>
            <w:r w:rsidR="004F5C2B">
              <w:rPr>
                <w:noProof/>
                <w:webHidden/>
              </w:rPr>
              <w:t>49</w:t>
            </w:r>
            <w:r w:rsidR="004F5C2B">
              <w:rPr>
                <w:noProof/>
                <w:webHidden/>
              </w:rPr>
              <w:fldChar w:fldCharType="end"/>
            </w:r>
          </w:hyperlink>
        </w:p>
        <w:p w14:paraId="25357C78" w14:textId="03A942EF" w:rsidR="004F5C2B" w:rsidRDefault="00000000">
          <w:pPr>
            <w:pStyle w:val="TOC1"/>
            <w:tabs>
              <w:tab w:val="left" w:pos="1100"/>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13" w:history="1">
            <w:r w:rsidR="004F5C2B" w:rsidRPr="004B37E1">
              <w:rPr>
                <w:rStyle w:val="Hyperlink"/>
                <w:noProof/>
              </w:rPr>
              <w:t>Section 5</w:t>
            </w:r>
            <w:r w:rsidR="004F5C2B">
              <w:rPr>
                <w:rFonts w:asciiTheme="minorHAnsi" w:eastAsiaTheme="minorEastAsia" w:hAnsiTheme="minorHAnsi" w:cstheme="minorBidi"/>
                <w:noProof/>
                <w:kern w:val="2"/>
                <w:sz w:val="22"/>
                <w:szCs w:val="22"/>
                <w:lang w:val="en-NG" w:eastAsia="en-NG"/>
                <w14:ligatures w14:val="standardContextual"/>
              </w:rPr>
              <w:tab/>
            </w:r>
            <w:r w:rsidR="004F5C2B" w:rsidRPr="004B37E1">
              <w:rPr>
                <w:rStyle w:val="Hyperlink"/>
                <w:noProof/>
              </w:rPr>
              <w:t>Summary of Key Points and Recommendations</w:t>
            </w:r>
            <w:r w:rsidR="004F5C2B">
              <w:rPr>
                <w:noProof/>
                <w:webHidden/>
              </w:rPr>
              <w:tab/>
            </w:r>
            <w:r w:rsidR="004F5C2B">
              <w:rPr>
                <w:noProof/>
                <w:webHidden/>
              </w:rPr>
              <w:fldChar w:fldCharType="begin"/>
            </w:r>
            <w:r w:rsidR="004F5C2B">
              <w:rPr>
                <w:noProof/>
                <w:webHidden/>
              </w:rPr>
              <w:instrText xml:space="preserve"> PAGEREF _Toc143179813 \h </w:instrText>
            </w:r>
            <w:r w:rsidR="004F5C2B">
              <w:rPr>
                <w:noProof/>
                <w:webHidden/>
              </w:rPr>
            </w:r>
            <w:r w:rsidR="004F5C2B">
              <w:rPr>
                <w:noProof/>
                <w:webHidden/>
              </w:rPr>
              <w:fldChar w:fldCharType="separate"/>
            </w:r>
            <w:r w:rsidR="004F5C2B">
              <w:rPr>
                <w:noProof/>
                <w:webHidden/>
              </w:rPr>
              <w:t>50</w:t>
            </w:r>
            <w:r w:rsidR="004F5C2B">
              <w:rPr>
                <w:noProof/>
                <w:webHidden/>
              </w:rPr>
              <w:fldChar w:fldCharType="end"/>
            </w:r>
          </w:hyperlink>
        </w:p>
        <w:p w14:paraId="0FF4CF87" w14:textId="7B1A99B2" w:rsidR="004F5C2B" w:rsidRDefault="00000000">
          <w:pPr>
            <w:pStyle w:val="TOC1"/>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814" w:history="1">
            <w:r w:rsidR="004F5C2B" w:rsidRPr="004B37E1">
              <w:rPr>
                <w:rStyle w:val="Hyperlink"/>
                <w:noProof/>
              </w:rPr>
              <w:t>Annex 1 – Detailed Capital Receipts</w:t>
            </w:r>
            <w:r w:rsidR="004F5C2B">
              <w:rPr>
                <w:noProof/>
                <w:webHidden/>
              </w:rPr>
              <w:tab/>
            </w:r>
            <w:r w:rsidR="004F5C2B">
              <w:rPr>
                <w:noProof/>
                <w:webHidden/>
              </w:rPr>
              <w:fldChar w:fldCharType="begin"/>
            </w:r>
            <w:r w:rsidR="004F5C2B">
              <w:rPr>
                <w:noProof/>
                <w:webHidden/>
              </w:rPr>
              <w:instrText xml:space="preserve"> PAGEREF _Toc143179814 \h </w:instrText>
            </w:r>
            <w:r w:rsidR="004F5C2B">
              <w:rPr>
                <w:noProof/>
                <w:webHidden/>
              </w:rPr>
            </w:r>
            <w:r w:rsidR="004F5C2B">
              <w:rPr>
                <w:noProof/>
                <w:webHidden/>
              </w:rPr>
              <w:fldChar w:fldCharType="separate"/>
            </w:r>
            <w:r w:rsidR="004F5C2B">
              <w:rPr>
                <w:noProof/>
                <w:webHidden/>
              </w:rPr>
              <w:t>51</w:t>
            </w:r>
            <w:r w:rsidR="004F5C2B">
              <w:rPr>
                <w:noProof/>
                <w:webHidden/>
              </w:rPr>
              <w:fldChar w:fldCharType="end"/>
            </w:r>
          </w:hyperlink>
        </w:p>
        <w:p w14:paraId="656DD314" w14:textId="6FD8718E" w:rsidR="004F5C2B" w:rsidRPr="004F5C2B" w:rsidRDefault="004F5C2B">
          <w:pPr>
            <w:rPr>
              <w:b/>
              <w:bCs/>
              <w:noProof/>
            </w:rPr>
          </w:pPr>
          <w:r>
            <w:rPr>
              <w:b/>
              <w:bCs/>
              <w:noProof/>
            </w:rPr>
            <w:fldChar w:fldCharType="end"/>
          </w:r>
        </w:p>
      </w:sdtContent>
    </w:sdt>
    <w:p w14:paraId="6BA313BF" w14:textId="2A769184" w:rsidR="004F5C2B" w:rsidRPr="004F5C2B" w:rsidRDefault="004F5C2B">
      <w:pPr>
        <w:pStyle w:val="TableofFigures"/>
        <w:tabs>
          <w:tab w:val="right" w:leader="dot" w:pos="8302"/>
        </w:tabs>
        <w:rPr>
          <w:b/>
          <w:bCs/>
        </w:rPr>
      </w:pPr>
      <w:r w:rsidRPr="004F5C2B">
        <w:rPr>
          <w:b/>
          <w:bCs/>
        </w:rPr>
        <w:t>Table of Figures</w:t>
      </w:r>
    </w:p>
    <w:p w14:paraId="199CEF5C" w14:textId="10A38146" w:rsidR="004F5C2B" w:rsidRDefault="004F5C2B">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r>
        <w:fldChar w:fldCharType="begin"/>
      </w:r>
      <w:r>
        <w:instrText xml:space="preserve"> TOC \h \z \c "Figure" </w:instrText>
      </w:r>
      <w:r>
        <w:fldChar w:fldCharType="separate"/>
      </w:r>
      <w:hyperlink w:anchor="_Toc143179905" w:history="1">
        <w:r w:rsidRPr="00E84F0F">
          <w:rPr>
            <w:rStyle w:val="Hyperlink"/>
            <w:noProof/>
          </w:rPr>
          <w:t>Figure 1: Budget Accuracy 2016-2022</w:t>
        </w:r>
        <w:r>
          <w:rPr>
            <w:noProof/>
            <w:webHidden/>
          </w:rPr>
          <w:tab/>
        </w:r>
        <w:r>
          <w:rPr>
            <w:noProof/>
            <w:webHidden/>
          </w:rPr>
          <w:fldChar w:fldCharType="begin"/>
        </w:r>
        <w:r>
          <w:rPr>
            <w:noProof/>
            <w:webHidden/>
          </w:rPr>
          <w:instrText xml:space="preserve"> PAGEREF _Toc143179905 \h </w:instrText>
        </w:r>
        <w:r>
          <w:rPr>
            <w:noProof/>
            <w:webHidden/>
          </w:rPr>
        </w:r>
        <w:r>
          <w:rPr>
            <w:noProof/>
            <w:webHidden/>
          </w:rPr>
          <w:fldChar w:fldCharType="separate"/>
        </w:r>
        <w:r>
          <w:rPr>
            <w:noProof/>
            <w:webHidden/>
          </w:rPr>
          <w:t>1</w:t>
        </w:r>
        <w:r>
          <w:rPr>
            <w:noProof/>
            <w:webHidden/>
          </w:rPr>
          <w:fldChar w:fldCharType="end"/>
        </w:r>
      </w:hyperlink>
    </w:p>
    <w:p w14:paraId="349750F3" w14:textId="7CEFB56F"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06" w:history="1">
        <w:r w:rsidR="004F5C2B" w:rsidRPr="00E84F0F">
          <w:rPr>
            <w:rStyle w:val="Hyperlink"/>
            <w:noProof/>
          </w:rPr>
          <w:t>Figure 2: Global GDP Trend</w:t>
        </w:r>
        <w:r w:rsidR="004F5C2B">
          <w:rPr>
            <w:noProof/>
            <w:webHidden/>
          </w:rPr>
          <w:tab/>
        </w:r>
        <w:r w:rsidR="004F5C2B">
          <w:rPr>
            <w:noProof/>
            <w:webHidden/>
          </w:rPr>
          <w:fldChar w:fldCharType="begin"/>
        </w:r>
        <w:r w:rsidR="004F5C2B">
          <w:rPr>
            <w:noProof/>
            <w:webHidden/>
          </w:rPr>
          <w:instrText xml:space="preserve"> PAGEREF _Toc143179906 \h </w:instrText>
        </w:r>
        <w:r w:rsidR="004F5C2B">
          <w:rPr>
            <w:noProof/>
            <w:webHidden/>
          </w:rPr>
        </w:r>
        <w:r w:rsidR="004F5C2B">
          <w:rPr>
            <w:noProof/>
            <w:webHidden/>
          </w:rPr>
          <w:fldChar w:fldCharType="separate"/>
        </w:r>
        <w:r w:rsidR="004F5C2B">
          <w:rPr>
            <w:noProof/>
            <w:webHidden/>
          </w:rPr>
          <w:t>6</w:t>
        </w:r>
        <w:r w:rsidR="004F5C2B">
          <w:rPr>
            <w:noProof/>
            <w:webHidden/>
          </w:rPr>
          <w:fldChar w:fldCharType="end"/>
        </w:r>
      </w:hyperlink>
    </w:p>
    <w:p w14:paraId="2C093A6B" w14:textId="28F284F4"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07" w:history="1">
        <w:r w:rsidR="004F5C2B" w:rsidRPr="00E84F0F">
          <w:rPr>
            <w:rStyle w:val="Hyperlink"/>
            <w:noProof/>
          </w:rPr>
          <w:t>Figure 3: Selected Consumer Price Inflation in % 2023</w:t>
        </w:r>
        <w:r w:rsidR="004F5C2B">
          <w:rPr>
            <w:noProof/>
            <w:webHidden/>
          </w:rPr>
          <w:tab/>
        </w:r>
        <w:r w:rsidR="004F5C2B">
          <w:rPr>
            <w:noProof/>
            <w:webHidden/>
          </w:rPr>
          <w:fldChar w:fldCharType="begin"/>
        </w:r>
        <w:r w:rsidR="004F5C2B">
          <w:rPr>
            <w:noProof/>
            <w:webHidden/>
          </w:rPr>
          <w:instrText xml:space="preserve"> PAGEREF _Toc143179907 \h </w:instrText>
        </w:r>
        <w:r w:rsidR="004F5C2B">
          <w:rPr>
            <w:noProof/>
            <w:webHidden/>
          </w:rPr>
        </w:r>
        <w:r w:rsidR="004F5C2B">
          <w:rPr>
            <w:noProof/>
            <w:webHidden/>
          </w:rPr>
          <w:fldChar w:fldCharType="separate"/>
        </w:r>
        <w:r w:rsidR="004F5C2B">
          <w:rPr>
            <w:noProof/>
            <w:webHidden/>
          </w:rPr>
          <w:t>8</w:t>
        </w:r>
        <w:r w:rsidR="004F5C2B">
          <w:rPr>
            <w:noProof/>
            <w:webHidden/>
          </w:rPr>
          <w:fldChar w:fldCharType="end"/>
        </w:r>
      </w:hyperlink>
    </w:p>
    <w:p w14:paraId="7912E0ED" w14:textId="08F2A6A5"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08" w:history="1">
        <w:r w:rsidR="004F5C2B" w:rsidRPr="00E84F0F">
          <w:rPr>
            <w:rStyle w:val="Hyperlink"/>
            <w:noProof/>
          </w:rPr>
          <w:t>Figure 4: Historical Bonny Light Crude Price</w:t>
        </w:r>
        <w:r w:rsidR="004F5C2B">
          <w:rPr>
            <w:noProof/>
            <w:webHidden/>
          </w:rPr>
          <w:tab/>
        </w:r>
        <w:r w:rsidR="004F5C2B">
          <w:rPr>
            <w:noProof/>
            <w:webHidden/>
          </w:rPr>
          <w:fldChar w:fldCharType="begin"/>
        </w:r>
        <w:r w:rsidR="004F5C2B">
          <w:rPr>
            <w:noProof/>
            <w:webHidden/>
          </w:rPr>
          <w:instrText xml:space="preserve"> PAGEREF _Toc143179908 \h </w:instrText>
        </w:r>
        <w:r w:rsidR="004F5C2B">
          <w:rPr>
            <w:noProof/>
            <w:webHidden/>
          </w:rPr>
        </w:r>
        <w:r w:rsidR="004F5C2B">
          <w:rPr>
            <w:noProof/>
            <w:webHidden/>
          </w:rPr>
          <w:fldChar w:fldCharType="separate"/>
        </w:r>
        <w:r w:rsidR="004F5C2B">
          <w:rPr>
            <w:noProof/>
            <w:webHidden/>
          </w:rPr>
          <w:t>9</w:t>
        </w:r>
        <w:r w:rsidR="004F5C2B">
          <w:rPr>
            <w:noProof/>
            <w:webHidden/>
          </w:rPr>
          <w:fldChar w:fldCharType="end"/>
        </w:r>
      </w:hyperlink>
    </w:p>
    <w:p w14:paraId="644BDDEE" w14:textId="649163B4"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09" w:history="1">
        <w:r w:rsidR="004F5C2B" w:rsidRPr="00E84F0F">
          <w:rPr>
            <w:rStyle w:val="Hyperlink"/>
            <w:noProof/>
          </w:rPr>
          <w:t>Figure 5: Sub-Saharan Africa: Real GDP Growth, 2023</w:t>
        </w:r>
        <w:r w:rsidR="004F5C2B">
          <w:rPr>
            <w:noProof/>
            <w:webHidden/>
          </w:rPr>
          <w:tab/>
        </w:r>
        <w:r w:rsidR="004F5C2B">
          <w:rPr>
            <w:noProof/>
            <w:webHidden/>
          </w:rPr>
          <w:fldChar w:fldCharType="begin"/>
        </w:r>
        <w:r w:rsidR="004F5C2B">
          <w:rPr>
            <w:noProof/>
            <w:webHidden/>
          </w:rPr>
          <w:instrText xml:space="preserve"> PAGEREF _Toc143179909 \h </w:instrText>
        </w:r>
        <w:r w:rsidR="004F5C2B">
          <w:rPr>
            <w:noProof/>
            <w:webHidden/>
          </w:rPr>
        </w:r>
        <w:r w:rsidR="004F5C2B">
          <w:rPr>
            <w:noProof/>
            <w:webHidden/>
          </w:rPr>
          <w:fldChar w:fldCharType="separate"/>
        </w:r>
        <w:r w:rsidR="004F5C2B">
          <w:rPr>
            <w:noProof/>
            <w:webHidden/>
          </w:rPr>
          <w:t>11</w:t>
        </w:r>
        <w:r w:rsidR="004F5C2B">
          <w:rPr>
            <w:noProof/>
            <w:webHidden/>
          </w:rPr>
          <w:fldChar w:fldCharType="end"/>
        </w:r>
      </w:hyperlink>
    </w:p>
    <w:p w14:paraId="4D8DDAC9" w14:textId="3E58733B"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10" w:history="1">
        <w:r w:rsidR="004F5C2B" w:rsidRPr="00E84F0F">
          <w:rPr>
            <w:rStyle w:val="Hyperlink"/>
            <w:noProof/>
          </w:rPr>
          <w:t>Figure 6: Real GDP per Capita, 2019–24</w:t>
        </w:r>
        <w:r w:rsidR="004F5C2B">
          <w:rPr>
            <w:noProof/>
            <w:webHidden/>
          </w:rPr>
          <w:tab/>
        </w:r>
        <w:r w:rsidR="004F5C2B">
          <w:rPr>
            <w:noProof/>
            <w:webHidden/>
          </w:rPr>
          <w:fldChar w:fldCharType="begin"/>
        </w:r>
        <w:r w:rsidR="004F5C2B">
          <w:rPr>
            <w:noProof/>
            <w:webHidden/>
          </w:rPr>
          <w:instrText xml:space="preserve"> PAGEREF _Toc143179910 \h </w:instrText>
        </w:r>
        <w:r w:rsidR="004F5C2B">
          <w:rPr>
            <w:noProof/>
            <w:webHidden/>
          </w:rPr>
        </w:r>
        <w:r w:rsidR="004F5C2B">
          <w:rPr>
            <w:noProof/>
            <w:webHidden/>
          </w:rPr>
          <w:fldChar w:fldCharType="separate"/>
        </w:r>
        <w:r w:rsidR="004F5C2B">
          <w:rPr>
            <w:noProof/>
            <w:webHidden/>
          </w:rPr>
          <w:t>12</w:t>
        </w:r>
        <w:r w:rsidR="004F5C2B">
          <w:rPr>
            <w:noProof/>
            <w:webHidden/>
          </w:rPr>
          <w:fldChar w:fldCharType="end"/>
        </w:r>
      </w:hyperlink>
    </w:p>
    <w:p w14:paraId="560F3D5D" w14:textId="541337DB"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11" w:history="1">
        <w:r w:rsidR="004F5C2B" w:rsidRPr="00E84F0F">
          <w:rPr>
            <w:rStyle w:val="Hyperlink"/>
            <w:noProof/>
          </w:rPr>
          <w:t>Figure 7: Historical CBN FX Rates and Foreign Reserves</w:t>
        </w:r>
        <w:r w:rsidR="004F5C2B">
          <w:rPr>
            <w:noProof/>
            <w:webHidden/>
          </w:rPr>
          <w:tab/>
        </w:r>
        <w:r w:rsidR="004F5C2B">
          <w:rPr>
            <w:noProof/>
            <w:webHidden/>
          </w:rPr>
          <w:fldChar w:fldCharType="begin"/>
        </w:r>
        <w:r w:rsidR="004F5C2B">
          <w:rPr>
            <w:noProof/>
            <w:webHidden/>
          </w:rPr>
          <w:instrText xml:space="preserve"> PAGEREF _Toc143179911 \h </w:instrText>
        </w:r>
        <w:r w:rsidR="004F5C2B">
          <w:rPr>
            <w:noProof/>
            <w:webHidden/>
          </w:rPr>
        </w:r>
        <w:r w:rsidR="004F5C2B">
          <w:rPr>
            <w:noProof/>
            <w:webHidden/>
          </w:rPr>
          <w:fldChar w:fldCharType="separate"/>
        </w:r>
        <w:r w:rsidR="004F5C2B">
          <w:rPr>
            <w:noProof/>
            <w:webHidden/>
          </w:rPr>
          <w:t>14</w:t>
        </w:r>
        <w:r w:rsidR="004F5C2B">
          <w:rPr>
            <w:noProof/>
            <w:webHidden/>
          </w:rPr>
          <w:fldChar w:fldCharType="end"/>
        </w:r>
      </w:hyperlink>
    </w:p>
    <w:p w14:paraId="21B20BA7" w14:textId="06358215"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12" w:history="1">
        <w:r w:rsidR="004F5C2B" w:rsidRPr="00E84F0F">
          <w:rPr>
            <w:rStyle w:val="Hyperlink"/>
            <w:noProof/>
          </w:rPr>
          <w:t>Figure 8: CRUDE OIL PRODUCTION</w:t>
        </w:r>
        <w:r w:rsidR="004F5C2B">
          <w:rPr>
            <w:noProof/>
            <w:webHidden/>
          </w:rPr>
          <w:tab/>
        </w:r>
        <w:r w:rsidR="004F5C2B">
          <w:rPr>
            <w:noProof/>
            <w:webHidden/>
          </w:rPr>
          <w:fldChar w:fldCharType="begin"/>
        </w:r>
        <w:r w:rsidR="004F5C2B">
          <w:rPr>
            <w:noProof/>
            <w:webHidden/>
          </w:rPr>
          <w:instrText xml:space="preserve"> PAGEREF _Toc143179912 \h </w:instrText>
        </w:r>
        <w:r w:rsidR="004F5C2B">
          <w:rPr>
            <w:noProof/>
            <w:webHidden/>
          </w:rPr>
        </w:r>
        <w:r w:rsidR="004F5C2B">
          <w:rPr>
            <w:noProof/>
            <w:webHidden/>
          </w:rPr>
          <w:fldChar w:fldCharType="separate"/>
        </w:r>
        <w:r w:rsidR="004F5C2B">
          <w:rPr>
            <w:noProof/>
            <w:webHidden/>
          </w:rPr>
          <w:t>15</w:t>
        </w:r>
        <w:r w:rsidR="004F5C2B">
          <w:rPr>
            <w:noProof/>
            <w:webHidden/>
          </w:rPr>
          <w:fldChar w:fldCharType="end"/>
        </w:r>
      </w:hyperlink>
    </w:p>
    <w:p w14:paraId="4675CA9A" w14:textId="14823F93"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13" w:history="1">
        <w:r w:rsidR="004F5C2B" w:rsidRPr="00E84F0F">
          <w:rPr>
            <w:rStyle w:val="Hyperlink"/>
            <w:noProof/>
          </w:rPr>
          <w:t>Figure 9: Crude Oil Price</w:t>
        </w:r>
        <w:r w:rsidR="004F5C2B">
          <w:rPr>
            <w:noProof/>
            <w:webHidden/>
          </w:rPr>
          <w:tab/>
        </w:r>
        <w:r w:rsidR="004F5C2B">
          <w:rPr>
            <w:noProof/>
            <w:webHidden/>
          </w:rPr>
          <w:fldChar w:fldCharType="begin"/>
        </w:r>
        <w:r w:rsidR="004F5C2B">
          <w:rPr>
            <w:noProof/>
            <w:webHidden/>
          </w:rPr>
          <w:instrText xml:space="preserve"> PAGEREF _Toc143179913 \h </w:instrText>
        </w:r>
        <w:r w:rsidR="004F5C2B">
          <w:rPr>
            <w:noProof/>
            <w:webHidden/>
          </w:rPr>
        </w:r>
        <w:r w:rsidR="004F5C2B">
          <w:rPr>
            <w:noProof/>
            <w:webHidden/>
          </w:rPr>
          <w:fldChar w:fldCharType="separate"/>
        </w:r>
        <w:r w:rsidR="004F5C2B">
          <w:rPr>
            <w:noProof/>
            <w:webHidden/>
          </w:rPr>
          <w:t>16</w:t>
        </w:r>
        <w:r w:rsidR="004F5C2B">
          <w:rPr>
            <w:noProof/>
            <w:webHidden/>
          </w:rPr>
          <w:fldChar w:fldCharType="end"/>
        </w:r>
      </w:hyperlink>
    </w:p>
    <w:p w14:paraId="2FEA53FB" w14:textId="0BE31C00"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14" w:history="1">
        <w:r w:rsidR="004F5C2B" w:rsidRPr="00E84F0F">
          <w:rPr>
            <w:rStyle w:val="Hyperlink"/>
            <w:noProof/>
          </w:rPr>
          <w:t>Figure 10: Kaduna State and Nigeria Inflation Trend 12 Month Series</w:t>
        </w:r>
        <w:r w:rsidR="004F5C2B">
          <w:rPr>
            <w:noProof/>
            <w:webHidden/>
          </w:rPr>
          <w:tab/>
        </w:r>
        <w:r w:rsidR="004F5C2B">
          <w:rPr>
            <w:noProof/>
            <w:webHidden/>
          </w:rPr>
          <w:fldChar w:fldCharType="begin"/>
        </w:r>
        <w:r w:rsidR="004F5C2B">
          <w:rPr>
            <w:noProof/>
            <w:webHidden/>
          </w:rPr>
          <w:instrText xml:space="preserve"> PAGEREF _Toc143179914 \h </w:instrText>
        </w:r>
        <w:r w:rsidR="004F5C2B">
          <w:rPr>
            <w:noProof/>
            <w:webHidden/>
          </w:rPr>
        </w:r>
        <w:r w:rsidR="004F5C2B">
          <w:rPr>
            <w:noProof/>
            <w:webHidden/>
          </w:rPr>
          <w:fldChar w:fldCharType="separate"/>
        </w:r>
        <w:r w:rsidR="004F5C2B">
          <w:rPr>
            <w:noProof/>
            <w:webHidden/>
          </w:rPr>
          <w:t>18</w:t>
        </w:r>
        <w:r w:rsidR="004F5C2B">
          <w:rPr>
            <w:noProof/>
            <w:webHidden/>
          </w:rPr>
          <w:fldChar w:fldCharType="end"/>
        </w:r>
      </w:hyperlink>
    </w:p>
    <w:p w14:paraId="4BA49C73" w14:textId="6947D6DF"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15" w:history="1">
        <w:r w:rsidR="004F5C2B" w:rsidRPr="00E84F0F">
          <w:rPr>
            <w:rStyle w:val="Hyperlink"/>
            <w:noProof/>
          </w:rPr>
          <w:t>Figure 11: IGR Trend in Kaduna</w:t>
        </w:r>
        <w:r w:rsidR="004F5C2B">
          <w:rPr>
            <w:noProof/>
            <w:webHidden/>
          </w:rPr>
          <w:tab/>
        </w:r>
        <w:r w:rsidR="004F5C2B">
          <w:rPr>
            <w:noProof/>
            <w:webHidden/>
          </w:rPr>
          <w:fldChar w:fldCharType="begin"/>
        </w:r>
        <w:r w:rsidR="004F5C2B">
          <w:rPr>
            <w:noProof/>
            <w:webHidden/>
          </w:rPr>
          <w:instrText xml:space="preserve"> PAGEREF _Toc143179915 \h </w:instrText>
        </w:r>
        <w:r w:rsidR="004F5C2B">
          <w:rPr>
            <w:noProof/>
            <w:webHidden/>
          </w:rPr>
        </w:r>
        <w:r w:rsidR="004F5C2B">
          <w:rPr>
            <w:noProof/>
            <w:webHidden/>
          </w:rPr>
          <w:fldChar w:fldCharType="separate"/>
        </w:r>
        <w:r w:rsidR="004F5C2B">
          <w:rPr>
            <w:noProof/>
            <w:webHidden/>
          </w:rPr>
          <w:t>18</w:t>
        </w:r>
        <w:r w:rsidR="004F5C2B">
          <w:rPr>
            <w:noProof/>
            <w:webHidden/>
          </w:rPr>
          <w:fldChar w:fldCharType="end"/>
        </w:r>
      </w:hyperlink>
    </w:p>
    <w:p w14:paraId="0512C092" w14:textId="1146BD1B"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16" w:history="1">
        <w:r w:rsidR="004F5C2B" w:rsidRPr="00E84F0F">
          <w:rPr>
            <w:rStyle w:val="Hyperlink"/>
            <w:noProof/>
          </w:rPr>
          <w:t>Figure 12: Kaduna State Total Debt Stock Actuals and Projections</w:t>
        </w:r>
        <w:r w:rsidR="004F5C2B">
          <w:rPr>
            <w:noProof/>
            <w:webHidden/>
          </w:rPr>
          <w:tab/>
        </w:r>
        <w:r w:rsidR="004F5C2B">
          <w:rPr>
            <w:noProof/>
            <w:webHidden/>
          </w:rPr>
          <w:fldChar w:fldCharType="begin"/>
        </w:r>
        <w:r w:rsidR="004F5C2B">
          <w:rPr>
            <w:noProof/>
            <w:webHidden/>
          </w:rPr>
          <w:instrText xml:space="preserve"> PAGEREF _Toc143179916 \h </w:instrText>
        </w:r>
        <w:r w:rsidR="004F5C2B">
          <w:rPr>
            <w:noProof/>
            <w:webHidden/>
          </w:rPr>
        </w:r>
        <w:r w:rsidR="004F5C2B">
          <w:rPr>
            <w:noProof/>
            <w:webHidden/>
          </w:rPr>
          <w:fldChar w:fldCharType="separate"/>
        </w:r>
        <w:r w:rsidR="004F5C2B">
          <w:rPr>
            <w:noProof/>
            <w:webHidden/>
          </w:rPr>
          <w:t>19</w:t>
        </w:r>
        <w:r w:rsidR="004F5C2B">
          <w:rPr>
            <w:noProof/>
            <w:webHidden/>
          </w:rPr>
          <w:fldChar w:fldCharType="end"/>
        </w:r>
      </w:hyperlink>
    </w:p>
    <w:p w14:paraId="3B725DE2" w14:textId="37FF1B5F"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17" w:history="1">
        <w:r w:rsidR="004F5C2B" w:rsidRPr="00E84F0F">
          <w:rPr>
            <w:rStyle w:val="Hyperlink"/>
            <w:noProof/>
          </w:rPr>
          <w:t>Figure 13: Kaduna State Domestic and External Debts</w:t>
        </w:r>
        <w:r w:rsidR="004F5C2B">
          <w:rPr>
            <w:noProof/>
            <w:webHidden/>
          </w:rPr>
          <w:tab/>
        </w:r>
        <w:r w:rsidR="004F5C2B">
          <w:rPr>
            <w:noProof/>
            <w:webHidden/>
          </w:rPr>
          <w:fldChar w:fldCharType="begin"/>
        </w:r>
        <w:r w:rsidR="004F5C2B">
          <w:rPr>
            <w:noProof/>
            <w:webHidden/>
          </w:rPr>
          <w:instrText xml:space="preserve"> PAGEREF _Toc143179917 \h </w:instrText>
        </w:r>
        <w:r w:rsidR="004F5C2B">
          <w:rPr>
            <w:noProof/>
            <w:webHidden/>
          </w:rPr>
        </w:r>
        <w:r w:rsidR="004F5C2B">
          <w:rPr>
            <w:noProof/>
            <w:webHidden/>
          </w:rPr>
          <w:fldChar w:fldCharType="separate"/>
        </w:r>
        <w:r w:rsidR="004F5C2B">
          <w:rPr>
            <w:noProof/>
            <w:webHidden/>
          </w:rPr>
          <w:t>19</w:t>
        </w:r>
        <w:r w:rsidR="004F5C2B">
          <w:rPr>
            <w:noProof/>
            <w:webHidden/>
          </w:rPr>
          <w:fldChar w:fldCharType="end"/>
        </w:r>
      </w:hyperlink>
    </w:p>
    <w:p w14:paraId="2D886D76" w14:textId="444E6E6F"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18" w:history="1">
        <w:r w:rsidR="004F5C2B" w:rsidRPr="00E84F0F">
          <w:rPr>
            <w:rStyle w:val="Hyperlink"/>
            <w:noProof/>
          </w:rPr>
          <w:t>Figure 14: Kaduna State Domestic and External Debts</w:t>
        </w:r>
        <w:r w:rsidR="004F5C2B">
          <w:rPr>
            <w:noProof/>
            <w:webHidden/>
          </w:rPr>
          <w:tab/>
        </w:r>
        <w:r w:rsidR="004F5C2B">
          <w:rPr>
            <w:noProof/>
            <w:webHidden/>
          </w:rPr>
          <w:fldChar w:fldCharType="begin"/>
        </w:r>
        <w:r w:rsidR="004F5C2B">
          <w:rPr>
            <w:noProof/>
            <w:webHidden/>
          </w:rPr>
          <w:instrText xml:space="preserve"> PAGEREF _Toc143179918 \h </w:instrText>
        </w:r>
        <w:r w:rsidR="004F5C2B">
          <w:rPr>
            <w:noProof/>
            <w:webHidden/>
          </w:rPr>
        </w:r>
        <w:r w:rsidR="004F5C2B">
          <w:rPr>
            <w:noProof/>
            <w:webHidden/>
          </w:rPr>
          <w:fldChar w:fldCharType="separate"/>
        </w:r>
        <w:r w:rsidR="004F5C2B">
          <w:rPr>
            <w:noProof/>
            <w:webHidden/>
          </w:rPr>
          <w:t>20</w:t>
        </w:r>
        <w:r w:rsidR="004F5C2B">
          <w:rPr>
            <w:noProof/>
            <w:webHidden/>
          </w:rPr>
          <w:fldChar w:fldCharType="end"/>
        </w:r>
      </w:hyperlink>
    </w:p>
    <w:p w14:paraId="65DC10D8" w14:textId="01F3EC0B"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19" w:history="1">
        <w:r w:rsidR="004F5C2B" w:rsidRPr="00E84F0F">
          <w:rPr>
            <w:rStyle w:val="Hyperlink"/>
            <w:noProof/>
          </w:rPr>
          <w:t>Figure 15: Statutory Allocation Budget vs Actuals 2017 - 2023</w:t>
        </w:r>
        <w:r w:rsidR="004F5C2B">
          <w:rPr>
            <w:noProof/>
            <w:webHidden/>
          </w:rPr>
          <w:tab/>
        </w:r>
        <w:r w:rsidR="004F5C2B">
          <w:rPr>
            <w:noProof/>
            <w:webHidden/>
          </w:rPr>
          <w:fldChar w:fldCharType="begin"/>
        </w:r>
        <w:r w:rsidR="004F5C2B">
          <w:rPr>
            <w:noProof/>
            <w:webHidden/>
          </w:rPr>
          <w:instrText xml:space="preserve"> PAGEREF _Toc143179919 \h </w:instrText>
        </w:r>
        <w:r w:rsidR="004F5C2B">
          <w:rPr>
            <w:noProof/>
            <w:webHidden/>
          </w:rPr>
        </w:r>
        <w:r w:rsidR="004F5C2B">
          <w:rPr>
            <w:noProof/>
            <w:webHidden/>
          </w:rPr>
          <w:fldChar w:fldCharType="separate"/>
        </w:r>
        <w:r w:rsidR="004F5C2B">
          <w:rPr>
            <w:noProof/>
            <w:webHidden/>
          </w:rPr>
          <w:t>21</w:t>
        </w:r>
        <w:r w:rsidR="004F5C2B">
          <w:rPr>
            <w:noProof/>
            <w:webHidden/>
          </w:rPr>
          <w:fldChar w:fldCharType="end"/>
        </w:r>
      </w:hyperlink>
    </w:p>
    <w:p w14:paraId="467F2B86" w14:textId="7EB4C4A4"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20" w:history="1">
        <w:r w:rsidR="004F5C2B" w:rsidRPr="00E84F0F">
          <w:rPr>
            <w:rStyle w:val="Hyperlink"/>
            <w:noProof/>
          </w:rPr>
          <w:t>Figure 16: VAT Budget vs Actuals 2017 - 2023</w:t>
        </w:r>
        <w:r w:rsidR="004F5C2B">
          <w:rPr>
            <w:noProof/>
            <w:webHidden/>
          </w:rPr>
          <w:tab/>
        </w:r>
        <w:r w:rsidR="004F5C2B">
          <w:rPr>
            <w:noProof/>
            <w:webHidden/>
          </w:rPr>
          <w:fldChar w:fldCharType="begin"/>
        </w:r>
        <w:r w:rsidR="004F5C2B">
          <w:rPr>
            <w:noProof/>
            <w:webHidden/>
          </w:rPr>
          <w:instrText xml:space="preserve"> PAGEREF _Toc143179920 \h </w:instrText>
        </w:r>
        <w:r w:rsidR="004F5C2B">
          <w:rPr>
            <w:noProof/>
            <w:webHidden/>
          </w:rPr>
        </w:r>
        <w:r w:rsidR="004F5C2B">
          <w:rPr>
            <w:noProof/>
            <w:webHidden/>
          </w:rPr>
          <w:fldChar w:fldCharType="separate"/>
        </w:r>
        <w:r w:rsidR="004F5C2B">
          <w:rPr>
            <w:noProof/>
            <w:webHidden/>
          </w:rPr>
          <w:t>21</w:t>
        </w:r>
        <w:r w:rsidR="004F5C2B">
          <w:rPr>
            <w:noProof/>
            <w:webHidden/>
          </w:rPr>
          <w:fldChar w:fldCharType="end"/>
        </w:r>
      </w:hyperlink>
    </w:p>
    <w:p w14:paraId="17B59397" w14:textId="1E766C40"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21" w:history="1">
        <w:r w:rsidR="004F5C2B" w:rsidRPr="00E84F0F">
          <w:rPr>
            <w:rStyle w:val="Hyperlink"/>
            <w:noProof/>
          </w:rPr>
          <w:t>Figure 17: IGR</w:t>
        </w:r>
        <w:r w:rsidR="004F5C2B">
          <w:rPr>
            <w:noProof/>
            <w:webHidden/>
          </w:rPr>
          <w:tab/>
        </w:r>
        <w:r w:rsidR="004F5C2B">
          <w:rPr>
            <w:noProof/>
            <w:webHidden/>
          </w:rPr>
          <w:fldChar w:fldCharType="begin"/>
        </w:r>
        <w:r w:rsidR="004F5C2B">
          <w:rPr>
            <w:noProof/>
            <w:webHidden/>
          </w:rPr>
          <w:instrText xml:space="preserve"> PAGEREF _Toc143179921 \h </w:instrText>
        </w:r>
        <w:r w:rsidR="004F5C2B">
          <w:rPr>
            <w:noProof/>
            <w:webHidden/>
          </w:rPr>
        </w:r>
        <w:r w:rsidR="004F5C2B">
          <w:rPr>
            <w:noProof/>
            <w:webHidden/>
          </w:rPr>
          <w:fldChar w:fldCharType="separate"/>
        </w:r>
        <w:r w:rsidR="004F5C2B">
          <w:rPr>
            <w:noProof/>
            <w:webHidden/>
          </w:rPr>
          <w:t>22</w:t>
        </w:r>
        <w:r w:rsidR="004F5C2B">
          <w:rPr>
            <w:noProof/>
            <w:webHidden/>
          </w:rPr>
          <w:fldChar w:fldCharType="end"/>
        </w:r>
      </w:hyperlink>
    </w:p>
    <w:p w14:paraId="2BEBCE84" w14:textId="68F502C1"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22" w:history="1">
        <w:r w:rsidR="004F5C2B" w:rsidRPr="00E84F0F">
          <w:rPr>
            <w:rStyle w:val="Hyperlink"/>
            <w:noProof/>
          </w:rPr>
          <w:t>Figure 18: Grants</w:t>
        </w:r>
        <w:r w:rsidR="004F5C2B">
          <w:rPr>
            <w:noProof/>
            <w:webHidden/>
          </w:rPr>
          <w:tab/>
        </w:r>
        <w:r w:rsidR="004F5C2B">
          <w:rPr>
            <w:noProof/>
            <w:webHidden/>
          </w:rPr>
          <w:fldChar w:fldCharType="begin"/>
        </w:r>
        <w:r w:rsidR="004F5C2B">
          <w:rPr>
            <w:noProof/>
            <w:webHidden/>
          </w:rPr>
          <w:instrText xml:space="preserve"> PAGEREF _Toc143179922 \h </w:instrText>
        </w:r>
        <w:r w:rsidR="004F5C2B">
          <w:rPr>
            <w:noProof/>
            <w:webHidden/>
          </w:rPr>
        </w:r>
        <w:r w:rsidR="004F5C2B">
          <w:rPr>
            <w:noProof/>
            <w:webHidden/>
          </w:rPr>
          <w:fldChar w:fldCharType="separate"/>
        </w:r>
        <w:r w:rsidR="004F5C2B">
          <w:rPr>
            <w:noProof/>
            <w:webHidden/>
          </w:rPr>
          <w:t>23</w:t>
        </w:r>
        <w:r w:rsidR="004F5C2B">
          <w:rPr>
            <w:noProof/>
            <w:webHidden/>
          </w:rPr>
          <w:fldChar w:fldCharType="end"/>
        </w:r>
      </w:hyperlink>
    </w:p>
    <w:p w14:paraId="105E5C72" w14:textId="55057D8C"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23" w:history="1">
        <w:r w:rsidR="004F5C2B" w:rsidRPr="00E84F0F">
          <w:rPr>
            <w:rStyle w:val="Hyperlink"/>
            <w:noProof/>
          </w:rPr>
          <w:t>Figure 19: Other Capital Receipts</w:t>
        </w:r>
        <w:r w:rsidR="004F5C2B">
          <w:rPr>
            <w:noProof/>
            <w:webHidden/>
          </w:rPr>
          <w:tab/>
        </w:r>
        <w:r w:rsidR="004F5C2B">
          <w:rPr>
            <w:noProof/>
            <w:webHidden/>
          </w:rPr>
          <w:fldChar w:fldCharType="begin"/>
        </w:r>
        <w:r w:rsidR="004F5C2B">
          <w:rPr>
            <w:noProof/>
            <w:webHidden/>
          </w:rPr>
          <w:instrText xml:space="preserve"> PAGEREF _Toc143179923 \h </w:instrText>
        </w:r>
        <w:r w:rsidR="004F5C2B">
          <w:rPr>
            <w:noProof/>
            <w:webHidden/>
          </w:rPr>
        </w:r>
        <w:r w:rsidR="004F5C2B">
          <w:rPr>
            <w:noProof/>
            <w:webHidden/>
          </w:rPr>
          <w:fldChar w:fldCharType="separate"/>
        </w:r>
        <w:r w:rsidR="004F5C2B">
          <w:rPr>
            <w:noProof/>
            <w:webHidden/>
          </w:rPr>
          <w:t>23</w:t>
        </w:r>
        <w:r w:rsidR="004F5C2B">
          <w:rPr>
            <w:noProof/>
            <w:webHidden/>
          </w:rPr>
          <w:fldChar w:fldCharType="end"/>
        </w:r>
      </w:hyperlink>
    </w:p>
    <w:p w14:paraId="0F0D47A0" w14:textId="3FA520BC"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24" w:history="1">
        <w:r w:rsidR="004F5C2B" w:rsidRPr="00E84F0F">
          <w:rPr>
            <w:rStyle w:val="Hyperlink"/>
            <w:noProof/>
          </w:rPr>
          <w:t>Figure 20: Loans / Financing</w:t>
        </w:r>
        <w:r w:rsidR="004F5C2B">
          <w:rPr>
            <w:noProof/>
            <w:webHidden/>
          </w:rPr>
          <w:tab/>
        </w:r>
        <w:r w:rsidR="004F5C2B">
          <w:rPr>
            <w:noProof/>
            <w:webHidden/>
          </w:rPr>
          <w:fldChar w:fldCharType="begin"/>
        </w:r>
        <w:r w:rsidR="004F5C2B">
          <w:rPr>
            <w:noProof/>
            <w:webHidden/>
          </w:rPr>
          <w:instrText xml:space="preserve"> PAGEREF _Toc143179924 \h </w:instrText>
        </w:r>
        <w:r w:rsidR="004F5C2B">
          <w:rPr>
            <w:noProof/>
            <w:webHidden/>
          </w:rPr>
        </w:r>
        <w:r w:rsidR="004F5C2B">
          <w:rPr>
            <w:noProof/>
            <w:webHidden/>
          </w:rPr>
          <w:fldChar w:fldCharType="separate"/>
        </w:r>
        <w:r w:rsidR="004F5C2B">
          <w:rPr>
            <w:noProof/>
            <w:webHidden/>
          </w:rPr>
          <w:t>24</w:t>
        </w:r>
        <w:r w:rsidR="004F5C2B">
          <w:rPr>
            <w:noProof/>
            <w:webHidden/>
          </w:rPr>
          <w:fldChar w:fldCharType="end"/>
        </w:r>
      </w:hyperlink>
    </w:p>
    <w:p w14:paraId="0B81802C" w14:textId="5AFAD8DE"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25" w:history="1">
        <w:r w:rsidR="004F5C2B" w:rsidRPr="00E84F0F">
          <w:rPr>
            <w:rStyle w:val="Hyperlink"/>
            <w:noProof/>
          </w:rPr>
          <w:t>Figure 21: Personnel</w:t>
        </w:r>
        <w:r w:rsidR="004F5C2B">
          <w:rPr>
            <w:noProof/>
            <w:webHidden/>
          </w:rPr>
          <w:tab/>
        </w:r>
        <w:r w:rsidR="004F5C2B">
          <w:rPr>
            <w:noProof/>
            <w:webHidden/>
          </w:rPr>
          <w:fldChar w:fldCharType="begin"/>
        </w:r>
        <w:r w:rsidR="004F5C2B">
          <w:rPr>
            <w:noProof/>
            <w:webHidden/>
          </w:rPr>
          <w:instrText xml:space="preserve"> PAGEREF _Toc143179925 \h </w:instrText>
        </w:r>
        <w:r w:rsidR="004F5C2B">
          <w:rPr>
            <w:noProof/>
            <w:webHidden/>
          </w:rPr>
        </w:r>
        <w:r w:rsidR="004F5C2B">
          <w:rPr>
            <w:noProof/>
            <w:webHidden/>
          </w:rPr>
          <w:fldChar w:fldCharType="separate"/>
        </w:r>
        <w:r w:rsidR="004F5C2B">
          <w:rPr>
            <w:noProof/>
            <w:webHidden/>
          </w:rPr>
          <w:t>24</w:t>
        </w:r>
        <w:r w:rsidR="004F5C2B">
          <w:rPr>
            <w:noProof/>
            <w:webHidden/>
          </w:rPr>
          <w:fldChar w:fldCharType="end"/>
        </w:r>
      </w:hyperlink>
    </w:p>
    <w:p w14:paraId="021ED08F" w14:textId="1801BA8D"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26" w:history="1">
        <w:r w:rsidR="004F5C2B" w:rsidRPr="00E84F0F">
          <w:rPr>
            <w:rStyle w:val="Hyperlink"/>
            <w:noProof/>
          </w:rPr>
          <w:t>Figure 22: Overheads</w:t>
        </w:r>
        <w:r w:rsidR="004F5C2B">
          <w:rPr>
            <w:noProof/>
            <w:webHidden/>
          </w:rPr>
          <w:tab/>
        </w:r>
        <w:r w:rsidR="004F5C2B">
          <w:rPr>
            <w:noProof/>
            <w:webHidden/>
          </w:rPr>
          <w:fldChar w:fldCharType="begin"/>
        </w:r>
        <w:r w:rsidR="004F5C2B">
          <w:rPr>
            <w:noProof/>
            <w:webHidden/>
          </w:rPr>
          <w:instrText xml:space="preserve"> PAGEREF _Toc143179926 \h </w:instrText>
        </w:r>
        <w:r w:rsidR="004F5C2B">
          <w:rPr>
            <w:noProof/>
            <w:webHidden/>
          </w:rPr>
        </w:r>
        <w:r w:rsidR="004F5C2B">
          <w:rPr>
            <w:noProof/>
            <w:webHidden/>
          </w:rPr>
          <w:fldChar w:fldCharType="separate"/>
        </w:r>
        <w:r w:rsidR="004F5C2B">
          <w:rPr>
            <w:noProof/>
            <w:webHidden/>
          </w:rPr>
          <w:t>25</w:t>
        </w:r>
        <w:r w:rsidR="004F5C2B">
          <w:rPr>
            <w:noProof/>
            <w:webHidden/>
          </w:rPr>
          <w:fldChar w:fldCharType="end"/>
        </w:r>
      </w:hyperlink>
    </w:p>
    <w:p w14:paraId="7333B6BE" w14:textId="363EB007"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27" w:history="1">
        <w:r w:rsidR="004F5C2B" w:rsidRPr="00E84F0F">
          <w:rPr>
            <w:rStyle w:val="Hyperlink"/>
            <w:noProof/>
          </w:rPr>
          <w:t>Figure 23: Capital Expenditure</w:t>
        </w:r>
        <w:r w:rsidR="004F5C2B">
          <w:rPr>
            <w:noProof/>
            <w:webHidden/>
          </w:rPr>
          <w:tab/>
        </w:r>
        <w:r w:rsidR="004F5C2B">
          <w:rPr>
            <w:noProof/>
            <w:webHidden/>
          </w:rPr>
          <w:fldChar w:fldCharType="begin"/>
        </w:r>
        <w:r w:rsidR="004F5C2B">
          <w:rPr>
            <w:noProof/>
            <w:webHidden/>
          </w:rPr>
          <w:instrText xml:space="preserve"> PAGEREF _Toc143179927 \h </w:instrText>
        </w:r>
        <w:r w:rsidR="004F5C2B">
          <w:rPr>
            <w:noProof/>
            <w:webHidden/>
          </w:rPr>
        </w:r>
        <w:r w:rsidR="004F5C2B">
          <w:rPr>
            <w:noProof/>
            <w:webHidden/>
          </w:rPr>
          <w:fldChar w:fldCharType="separate"/>
        </w:r>
        <w:r w:rsidR="004F5C2B">
          <w:rPr>
            <w:noProof/>
            <w:webHidden/>
          </w:rPr>
          <w:t>26</w:t>
        </w:r>
        <w:r w:rsidR="004F5C2B">
          <w:rPr>
            <w:noProof/>
            <w:webHidden/>
          </w:rPr>
          <w:fldChar w:fldCharType="end"/>
        </w:r>
      </w:hyperlink>
    </w:p>
    <w:p w14:paraId="0A42C9B3" w14:textId="1537F5E2"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28" w:history="1">
        <w:r w:rsidR="004F5C2B" w:rsidRPr="00E84F0F">
          <w:rPr>
            <w:rStyle w:val="Hyperlink"/>
            <w:noProof/>
          </w:rPr>
          <w:t>Figure 24: Social Benefits Budget VS Actual 2017 - 2023</w:t>
        </w:r>
        <w:r w:rsidR="004F5C2B">
          <w:rPr>
            <w:noProof/>
            <w:webHidden/>
          </w:rPr>
          <w:tab/>
        </w:r>
        <w:r w:rsidR="004F5C2B">
          <w:rPr>
            <w:noProof/>
            <w:webHidden/>
          </w:rPr>
          <w:fldChar w:fldCharType="begin"/>
        </w:r>
        <w:r w:rsidR="004F5C2B">
          <w:rPr>
            <w:noProof/>
            <w:webHidden/>
          </w:rPr>
          <w:instrText xml:space="preserve"> PAGEREF _Toc143179928 \h </w:instrText>
        </w:r>
        <w:r w:rsidR="004F5C2B">
          <w:rPr>
            <w:noProof/>
            <w:webHidden/>
          </w:rPr>
        </w:r>
        <w:r w:rsidR="004F5C2B">
          <w:rPr>
            <w:noProof/>
            <w:webHidden/>
          </w:rPr>
          <w:fldChar w:fldCharType="separate"/>
        </w:r>
        <w:r w:rsidR="004F5C2B">
          <w:rPr>
            <w:noProof/>
            <w:webHidden/>
          </w:rPr>
          <w:t>26</w:t>
        </w:r>
        <w:r w:rsidR="004F5C2B">
          <w:rPr>
            <w:noProof/>
            <w:webHidden/>
          </w:rPr>
          <w:fldChar w:fldCharType="end"/>
        </w:r>
      </w:hyperlink>
      <w:hyperlink w:anchor="_Toc143179929" w:history="1">
        <w:r w:rsidR="004F5C2B" w:rsidRPr="00E84F0F">
          <w:rPr>
            <w:rStyle w:val="Hyperlink"/>
            <w:noProof/>
          </w:rPr>
          <w:t>Figure 25: Capital Expenditure Ratio</w:t>
        </w:r>
        <w:r w:rsidR="004F5C2B">
          <w:rPr>
            <w:noProof/>
            <w:webHidden/>
          </w:rPr>
          <w:tab/>
        </w:r>
        <w:r w:rsidR="004F5C2B">
          <w:rPr>
            <w:noProof/>
            <w:webHidden/>
          </w:rPr>
          <w:fldChar w:fldCharType="begin"/>
        </w:r>
        <w:r w:rsidR="004F5C2B">
          <w:rPr>
            <w:noProof/>
            <w:webHidden/>
          </w:rPr>
          <w:instrText xml:space="preserve"> PAGEREF _Toc143179929 \h </w:instrText>
        </w:r>
        <w:r w:rsidR="004F5C2B">
          <w:rPr>
            <w:noProof/>
            <w:webHidden/>
          </w:rPr>
        </w:r>
        <w:r w:rsidR="004F5C2B">
          <w:rPr>
            <w:noProof/>
            <w:webHidden/>
          </w:rPr>
          <w:fldChar w:fldCharType="separate"/>
        </w:r>
        <w:r w:rsidR="004F5C2B">
          <w:rPr>
            <w:noProof/>
            <w:webHidden/>
          </w:rPr>
          <w:t>27</w:t>
        </w:r>
        <w:r w:rsidR="004F5C2B">
          <w:rPr>
            <w:noProof/>
            <w:webHidden/>
          </w:rPr>
          <w:fldChar w:fldCharType="end"/>
        </w:r>
      </w:hyperlink>
    </w:p>
    <w:p w14:paraId="3F40916C" w14:textId="733A08C0"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30" w:history="1">
        <w:r w:rsidR="004F5C2B" w:rsidRPr="00E84F0F">
          <w:rPr>
            <w:rStyle w:val="Hyperlink"/>
            <w:noProof/>
          </w:rPr>
          <w:t>Figure 26 Fiscal Performance Summary of Expenditure</w:t>
        </w:r>
        <w:r w:rsidR="004F5C2B">
          <w:rPr>
            <w:noProof/>
            <w:webHidden/>
          </w:rPr>
          <w:tab/>
        </w:r>
        <w:r w:rsidR="004F5C2B">
          <w:rPr>
            <w:noProof/>
            <w:webHidden/>
          </w:rPr>
          <w:fldChar w:fldCharType="begin"/>
        </w:r>
        <w:r w:rsidR="004F5C2B">
          <w:rPr>
            <w:noProof/>
            <w:webHidden/>
          </w:rPr>
          <w:instrText xml:space="preserve"> PAGEREF _Toc143179930 \h </w:instrText>
        </w:r>
        <w:r w:rsidR="004F5C2B">
          <w:rPr>
            <w:noProof/>
            <w:webHidden/>
          </w:rPr>
        </w:r>
        <w:r w:rsidR="004F5C2B">
          <w:rPr>
            <w:noProof/>
            <w:webHidden/>
          </w:rPr>
          <w:fldChar w:fldCharType="separate"/>
        </w:r>
        <w:r w:rsidR="004F5C2B">
          <w:rPr>
            <w:noProof/>
            <w:webHidden/>
          </w:rPr>
          <w:t>27</w:t>
        </w:r>
        <w:r w:rsidR="004F5C2B">
          <w:rPr>
            <w:noProof/>
            <w:webHidden/>
          </w:rPr>
          <w:fldChar w:fldCharType="end"/>
        </w:r>
      </w:hyperlink>
    </w:p>
    <w:p w14:paraId="2B17BB52" w14:textId="36700FBB"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31" w:history="1">
        <w:r w:rsidR="004F5C2B" w:rsidRPr="00E84F0F">
          <w:rPr>
            <w:rStyle w:val="Hyperlink"/>
            <w:noProof/>
          </w:rPr>
          <w:t>Figure 27: Kaduna State Total Debt Service Actuals and Projections</w:t>
        </w:r>
        <w:r w:rsidR="004F5C2B">
          <w:rPr>
            <w:noProof/>
            <w:webHidden/>
          </w:rPr>
          <w:tab/>
        </w:r>
        <w:r w:rsidR="004F5C2B">
          <w:rPr>
            <w:noProof/>
            <w:webHidden/>
          </w:rPr>
          <w:fldChar w:fldCharType="begin"/>
        </w:r>
        <w:r w:rsidR="004F5C2B">
          <w:rPr>
            <w:noProof/>
            <w:webHidden/>
          </w:rPr>
          <w:instrText xml:space="preserve"> PAGEREF _Toc143179931 \h </w:instrText>
        </w:r>
        <w:r w:rsidR="004F5C2B">
          <w:rPr>
            <w:noProof/>
            <w:webHidden/>
          </w:rPr>
        </w:r>
        <w:r w:rsidR="004F5C2B">
          <w:rPr>
            <w:noProof/>
            <w:webHidden/>
          </w:rPr>
          <w:fldChar w:fldCharType="separate"/>
        </w:r>
        <w:r w:rsidR="004F5C2B">
          <w:rPr>
            <w:noProof/>
            <w:webHidden/>
          </w:rPr>
          <w:t>37</w:t>
        </w:r>
        <w:r w:rsidR="004F5C2B">
          <w:rPr>
            <w:noProof/>
            <w:webHidden/>
          </w:rPr>
          <w:fldChar w:fldCharType="end"/>
        </w:r>
      </w:hyperlink>
    </w:p>
    <w:p w14:paraId="4879FF85" w14:textId="1EE0913B" w:rsidR="004F5C2B" w:rsidRP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32" w:history="1">
        <w:r w:rsidR="004F5C2B" w:rsidRPr="004F5C2B">
          <w:rPr>
            <w:rStyle w:val="Hyperlink"/>
            <w:noProof/>
          </w:rPr>
          <w:t>Figure 28: Kaduna State Revenue Trend</w:t>
        </w:r>
        <w:r w:rsidR="004F5C2B" w:rsidRPr="004F5C2B">
          <w:rPr>
            <w:noProof/>
            <w:webHidden/>
          </w:rPr>
          <w:tab/>
        </w:r>
        <w:r w:rsidR="004F5C2B" w:rsidRPr="004F5C2B">
          <w:rPr>
            <w:noProof/>
            <w:webHidden/>
          </w:rPr>
          <w:fldChar w:fldCharType="begin"/>
        </w:r>
        <w:r w:rsidR="004F5C2B" w:rsidRPr="004F5C2B">
          <w:rPr>
            <w:noProof/>
            <w:webHidden/>
          </w:rPr>
          <w:instrText xml:space="preserve"> PAGEREF _Toc143179932 \h </w:instrText>
        </w:r>
        <w:r w:rsidR="004F5C2B" w:rsidRPr="004F5C2B">
          <w:rPr>
            <w:noProof/>
            <w:webHidden/>
          </w:rPr>
        </w:r>
        <w:r w:rsidR="004F5C2B" w:rsidRPr="004F5C2B">
          <w:rPr>
            <w:noProof/>
            <w:webHidden/>
          </w:rPr>
          <w:fldChar w:fldCharType="separate"/>
        </w:r>
        <w:r w:rsidR="004F5C2B" w:rsidRPr="004F5C2B">
          <w:rPr>
            <w:noProof/>
            <w:webHidden/>
          </w:rPr>
          <w:t>38</w:t>
        </w:r>
        <w:r w:rsidR="004F5C2B" w:rsidRPr="004F5C2B">
          <w:rPr>
            <w:noProof/>
            <w:webHidden/>
          </w:rPr>
          <w:fldChar w:fldCharType="end"/>
        </w:r>
      </w:hyperlink>
    </w:p>
    <w:p w14:paraId="0B4C7D24" w14:textId="0075A14F"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33" w:history="1">
        <w:r w:rsidR="004F5C2B" w:rsidRPr="00E84F0F">
          <w:rPr>
            <w:rStyle w:val="Hyperlink"/>
            <w:noProof/>
          </w:rPr>
          <w:t>Figure 29: Kaduna State Expenditure Trend</w:t>
        </w:r>
        <w:r w:rsidR="004F5C2B">
          <w:rPr>
            <w:noProof/>
            <w:webHidden/>
          </w:rPr>
          <w:tab/>
        </w:r>
        <w:r w:rsidR="004F5C2B">
          <w:rPr>
            <w:noProof/>
            <w:webHidden/>
          </w:rPr>
          <w:fldChar w:fldCharType="begin"/>
        </w:r>
        <w:r w:rsidR="004F5C2B">
          <w:rPr>
            <w:noProof/>
            <w:webHidden/>
          </w:rPr>
          <w:instrText xml:space="preserve"> PAGEREF _Toc143179933 \h </w:instrText>
        </w:r>
        <w:r w:rsidR="004F5C2B">
          <w:rPr>
            <w:noProof/>
            <w:webHidden/>
          </w:rPr>
        </w:r>
        <w:r w:rsidR="004F5C2B">
          <w:rPr>
            <w:noProof/>
            <w:webHidden/>
          </w:rPr>
          <w:fldChar w:fldCharType="separate"/>
        </w:r>
        <w:r w:rsidR="004F5C2B">
          <w:rPr>
            <w:noProof/>
            <w:webHidden/>
          </w:rPr>
          <w:t>39</w:t>
        </w:r>
        <w:r w:rsidR="004F5C2B">
          <w:rPr>
            <w:noProof/>
            <w:webHidden/>
          </w:rPr>
          <w:fldChar w:fldCharType="end"/>
        </w:r>
      </w:hyperlink>
    </w:p>
    <w:p w14:paraId="2A86FD92" w14:textId="77777777" w:rsidR="004F5C2B" w:rsidRDefault="004F5C2B">
      <w:pPr>
        <w:pStyle w:val="TableofFigures"/>
        <w:tabs>
          <w:tab w:val="right" w:leader="dot" w:pos="8302"/>
        </w:tabs>
      </w:pPr>
      <w:r>
        <w:fldChar w:fldCharType="end"/>
      </w:r>
    </w:p>
    <w:p w14:paraId="5FD7750B" w14:textId="3B4393B9" w:rsidR="004F5C2B" w:rsidRPr="00C20119" w:rsidRDefault="004F5C2B">
      <w:pPr>
        <w:pStyle w:val="TableofFigures"/>
        <w:tabs>
          <w:tab w:val="right" w:leader="dot" w:pos="8302"/>
        </w:tabs>
        <w:rPr>
          <w:b/>
          <w:bCs/>
        </w:rPr>
      </w:pPr>
      <w:r w:rsidRPr="00C20119">
        <w:rPr>
          <w:b/>
          <w:bCs/>
        </w:rPr>
        <w:t>Table of Tables</w:t>
      </w:r>
    </w:p>
    <w:p w14:paraId="1D76541B" w14:textId="28304BC4" w:rsidR="004F5C2B" w:rsidRDefault="004F5C2B">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r>
        <w:fldChar w:fldCharType="begin"/>
      </w:r>
      <w:r>
        <w:instrText xml:space="preserve"> TOC \h \z \c "Table" </w:instrText>
      </w:r>
      <w:r>
        <w:fldChar w:fldCharType="separate"/>
      </w:r>
      <w:hyperlink w:anchor="_Toc143179938" w:history="1">
        <w:r w:rsidRPr="002D5A05">
          <w:rPr>
            <w:rStyle w:val="Hyperlink"/>
            <w:noProof/>
          </w:rPr>
          <w:t>Table 1: MTEF Development Process</w:t>
        </w:r>
        <w:r>
          <w:rPr>
            <w:noProof/>
            <w:webHidden/>
          </w:rPr>
          <w:tab/>
        </w:r>
        <w:r>
          <w:rPr>
            <w:noProof/>
            <w:webHidden/>
          </w:rPr>
          <w:fldChar w:fldCharType="begin"/>
        </w:r>
        <w:r>
          <w:rPr>
            <w:noProof/>
            <w:webHidden/>
          </w:rPr>
          <w:instrText xml:space="preserve"> PAGEREF _Toc143179938 \h </w:instrText>
        </w:r>
        <w:r>
          <w:rPr>
            <w:noProof/>
            <w:webHidden/>
          </w:rPr>
        </w:r>
        <w:r>
          <w:rPr>
            <w:noProof/>
            <w:webHidden/>
          </w:rPr>
          <w:fldChar w:fldCharType="separate"/>
        </w:r>
        <w:r>
          <w:rPr>
            <w:noProof/>
            <w:webHidden/>
          </w:rPr>
          <w:t>2</w:t>
        </w:r>
        <w:r>
          <w:rPr>
            <w:noProof/>
            <w:webHidden/>
          </w:rPr>
          <w:fldChar w:fldCharType="end"/>
        </w:r>
      </w:hyperlink>
    </w:p>
    <w:p w14:paraId="5F855065" w14:textId="2E4A118A"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39" w:history="1">
        <w:r w:rsidR="004F5C2B" w:rsidRPr="002D5A05">
          <w:rPr>
            <w:rStyle w:val="Hyperlink"/>
            <w:noProof/>
          </w:rPr>
          <w:t>Table 2: The 2024-2026 Budget Preparation Calendar</w:t>
        </w:r>
        <w:r w:rsidR="004F5C2B">
          <w:rPr>
            <w:noProof/>
            <w:webHidden/>
          </w:rPr>
          <w:tab/>
        </w:r>
        <w:r w:rsidR="004F5C2B">
          <w:rPr>
            <w:noProof/>
            <w:webHidden/>
          </w:rPr>
          <w:fldChar w:fldCharType="begin"/>
        </w:r>
        <w:r w:rsidR="004F5C2B">
          <w:rPr>
            <w:noProof/>
            <w:webHidden/>
          </w:rPr>
          <w:instrText xml:space="preserve"> PAGEREF _Toc143179939 \h </w:instrText>
        </w:r>
        <w:r w:rsidR="004F5C2B">
          <w:rPr>
            <w:noProof/>
            <w:webHidden/>
          </w:rPr>
        </w:r>
        <w:r w:rsidR="004F5C2B">
          <w:rPr>
            <w:noProof/>
            <w:webHidden/>
          </w:rPr>
          <w:fldChar w:fldCharType="separate"/>
        </w:r>
        <w:r w:rsidR="004F5C2B">
          <w:rPr>
            <w:noProof/>
            <w:webHidden/>
          </w:rPr>
          <w:t>4</w:t>
        </w:r>
        <w:r w:rsidR="004F5C2B">
          <w:rPr>
            <w:noProof/>
            <w:webHidden/>
          </w:rPr>
          <w:fldChar w:fldCharType="end"/>
        </w:r>
      </w:hyperlink>
    </w:p>
    <w:p w14:paraId="186A2290" w14:textId="66E27276"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40" w:history="1">
        <w:r w:rsidR="004F5C2B" w:rsidRPr="002D5A05">
          <w:rPr>
            <w:rStyle w:val="Hyperlink"/>
            <w:noProof/>
          </w:rPr>
          <w:t>Table 3: Selected Economies Real GDP Growth</w:t>
        </w:r>
        <w:r w:rsidR="004F5C2B">
          <w:rPr>
            <w:noProof/>
            <w:webHidden/>
          </w:rPr>
          <w:tab/>
        </w:r>
        <w:r w:rsidR="004F5C2B">
          <w:rPr>
            <w:noProof/>
            <w:webHidden/>
          </w:rPr>
          <w:fldChar w:fldCharType="begin"/>
        </w:r>
        <w:r w:rsidR="004F5C2B">
          <w:rPr>
            <w:noProof/>
            <w:webHidden/>
          </w:rPr>
          <w:instrText xml:space="preserve"> PAGEREF _Toc143179940 \h </w:instrText>
        </w:r>
        <w:r w:rsidR="004F5C2B">
          <w:rPr>
            <w:noProof/>
            <w:webHidden/>
          </w:rPr>
        </w:r>
        <w:r w:rsidR="004F5C2B">
          <w:rPr>
            <w:noProof/>
            <w:webHidden/>
          </w:rPr>
          <w:fldChar w:fldCharType="separate"/>
        </w:r>
        <w:r w:rsidR="004F5C2B">
          <w:rPr>
            <w:noProof/>
            <w:webHidden/>
          </w:rPr>
          <w:t>7</w:t>
        </w:r>
        <w:r w:rsidR="004F5C2B">
          <w:rPr>
            <w:noProof/>
            <w:webHidden/>
          </w:rPr>
          <w:fldChar w:fldCharType="end"/>
        </w:r>
      </w:hyperlink>
    </w:p>
    <w:p w14:paraId="3ABCA90F" w14:textId="0D49D66A"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41" w:history="1">
        <w:r w:rsidR="004F5C2B" w:rsidRPr="002D5A05">
          <w:rPr>
            <w:rStyle w:val="Hyperlink"/>
            <w:noProof/>
          </w:rPr>
          <w:t>Table 4: Selected Economies Real GDP Growth</w:t>
        </w:r>
        <w:r w:rsidR="004F5C2B">
          <w:rPr>
            <w:noProof/>
            <w:webHidden/>
          </w:rPr>
          <w:tab/>
        </w:r>
        <w:r w:rsidR="004F5C2B">
          <w:rPr>
            <w:noProof/>
            <w:webHidden/>
          </w:rPr>
          <w:fldChar w:fldCharType="begin"/>
        </w:r>
        <w:r w:rsidR="004F5C2B">
          <w:rPr>
            <w:noProof/>
            <w:webHidden/>
          </w:rPr>
          <w:instrText xml:space="preserve"> PAGEREF _Toc143179941 \h </w:instrText>
        </w:r>
        <w:r w:rsidR="004F5C2B">
          <w:rPr>
            <w:noProof/>
            <w:webHidden/>
          </w:rPr>
        </w:r>
        <w:r w:rsidR="004F5C2B">
          <w:rPr>
            <w:noProof/>
            <w:webHidden/>
          </w:rPr>
          <w:fldChar w:fldCharType="separate"/>
        </w:r>
        <w:r w:rsidR="004F5C2B">
          <w:rPr>
            <w:noProof/>
            <w:webHidden/>
          </w:rPr>
          <w:t>7</w:t>
        </w:r>
        <w:r w:rsidR="004F5C2B">
          <w:rPr>
            <w:noProof/>
            <w:webHidden/>
          </w:rPr>
          <w:fldChar w:fldCharType="end"/>
        </w:r>
      </w:hyperlink>
    </w:p>
    <w:p w14:paraId="72AE6782" w14:textId="779A0315"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42" w:history="1">
        <w:r w:rsidR="004F5C2B" w:rsidRPr="002D5A05">
          <w:rPr>
            <w:rStyle w:val="Hyperlink"/>
            <w:noProof/>
          </w:rPr>
          <w:t>Table 5: Kaduna State Domestic and External Debts/Servicing 2017-2022</w:t>
        </w:r>
        <w:r w:rsidR="004F5C2B">
          <w:rPr>
            <w:noProof/>
            <w:webHidden/>
          </w:rPr>
          <w:tab/>
        </w:r>
        <w:r w:rsidR="004F5C2B">
          <w:rPr>
            <w:noProof/>
            <w:webHidden/>
          </w:rPr>
          <w:fldChar w:fldCharType="begin"/>
        </w:r>
        <w:r w:rsidR="004F5C2B">
          <w:rPr>
            <w:noProof/>
            <w:webHidden/>
          </w:rPr>
          <w:instrText xml:space="preserve"> PAGEREF _Toc143179942 \h </w:instrText>
        </w:r>
        <w:r w:rsidR="004F5C2B">
          <w:rPr>
            <w:noProof/>
            <w:webHidden/>
          </w:rPr>
        </w:r>
        <w:r w:rsidR="004F5C2B">
          <w:rPr>
            <w:noProof/>
            <w:webHidden/>
          </w:rPr>
          <w:fldChar w:fldCharType="separate"/>
        </w:r>
        <w:r w:rsidR="004F5C2B">
          <w:rPr>
            <w:noProof/>
            <w:webHidden/>
          </w:rPr>
          <w:t>20</w:t>
        </w:r>
        <w:r w:rsidR="004F5C2B">
          <w:rPr>
            <w:noProof/>
            <w:webHidden/>
          </w:rPr>
          <w:fldChar w:fldCharType="end"/>
        </w:r>
      </w:hyperlink>
    </w:p>
    <w:p w14:paraId="27C5D5DF" w14:textId="431C551A"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43" w:history="1">
        <w:r w:rsidR="004F5C2B" w:rsidRPr="002D5A05">
          <w:rPr>
            <w:rStyle w:val="Hyperlink"/>
            <w:noProof/>
          </w:rPr>
          <w:t>Table 6: Personnel Expenditure by Sector</w:t>
        </w:r>
        <w:r w:rsidR="004F5C2B">
          <w:rPr>
            <w:noProof/>
            <w:webHidden/>
          </w:rPr>
          <w:tab/>
        </w:r>
        <w:r w:rsidR="004F5C2B">
          <w:rPr>
            <w:noProof/>
            <w:webHidden/>
          </w:rPr>
          <w:fldChar w:fldCharType="begin"/>
        </w:r>
        <w:r w:rsidR="004F5C2B">
          <w:rPr>
            <w:noProof/>
            <w:webHidden/>
          </w:rPr>
          <w:instrText xml:space="preserve"> PAGEREF _Toc143179943 \h </w:instrText>
        </w:r>
        <w:r w:rsidR="004F5C2B">
          <w:rPr>
            <w:noProof/>
            <w:webHidden/>
          </w:rPr>
        </w:r>
        <w:r w:rsidR="004F5C2B">
          <w:rPr>
            <w:noProof/>
            <w:webHidden/>
          </w:rPr>
          <w:fldChar w:fldCharType="separate"/>
        </w:r>
        <w:r w:rsidR="004F5C2B">
          <w:rPr>
            <w:noProof/>
            <w:webHidden/>
          </w:rPr>
          <w:t>29</w:t>
        </w:r>
        <w:r w:rsidR="004F5C2B">
          <w:rPr>
            <w:noProof/>
            <w:webHidden/>
          </w:rPr>
          <w:fldChar w:fldCharType="end"/>
        </w:r>
      </w:hyperlink>
    </w:p>
    <w:p w14:paraId="6BAA985C" w14:textId="6F7872C7" w:rsidR="004F5C2B" w:rsidRP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44" w:history="1">
        <w:r w:rsidR="004F5C2B" w:rsidRPr="004F5C2B">
          <w:rPr>
            <w:rStyle w:val="Hyperlink"/>
            <w:noProof/>
          </w:rPr>
          <w:t>Table 7: Overhead Expenditure by Sector</w:t>
        </w:r>
        <w:r w:rsidR="004F5C2B" w:rsidRPr="004F5C2B">
          <w:rPr>
            <w:noProof/>
            <w:webHidden/>
          </w:rPr>
          <w:tab/>
        </w:r>
        <w:r w:rsidR="004F5C2B" w:rsidRPr="004F5C2B">
          <w:rPr>
            <w:noProof/>
            <w:webHidden/>
          </w:rPr>
          <w:fldChar w:fldCharType="begin"/>
        </w:r>
        <w:r w:rsidR="004F5C2B" w:rsidRPr="004F5C2B">
          <w:rPr>
            <w:noProof/>
            <w:webHidden/>
          </w:rPr>
          <w:instrText xml:space="preserve"> PAGEREF _Toc143179944 \h </w:instrText>
        </w:r>
        <w:r w:rsidR="004F5C2B" w:rsidRPr="004F5C2B">
          <w:rPr>
            <w:noProof/>
            <w:webHidden/>
          </w:rPr>
        </w:r>
        <w:r w:rsidR="004F5C2B" w:rsidRPr="004F5C2B">
          <w:rPr>
            <w:noProof/>
            <w:webHidden/>
          </w:rPr>
          <w:fldChar w:fldCharType="separate"/>
        </w:r>
        <w:r w:rsidR="004F5C2B" w:rsidRPr="004F5C2B">
          <w:rPr>
            <w:noProof/>
            <w:webHidden/>
          </w:rPr>
          <w:t>29</w:t>
        </w:r>
        <w:r w:rsidR="004F5C2B" w:rsidRPr="004F5C2B">
          <w:rPr>
            <w:noProof/>
            <w:webHidden/>
          </w:rPr>
          <w:fldChar w:fldCharType="end"/>
        </w:r>
      </w:hyperlink>
    </w:p>
    <w:p w14:paraId="0AA40526" w14:textId="74BA8A56"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45" w:history="1">
        <w:r w:rsidR="004F5C2B" w:rsidRPr="002D5A05">
          <w:rPr>
            <w:rStyle w:val="Hyperlink"/>
            <w:noProof/>
          </w:rPr>
          <w:t>Table 8: Capital Expenditure by Sector</w:t>
        </w:r>
        <w:r w:rsidR="004F5C2B">
          <w:rPr>
            <w:noProof/>
            <w:webHidden/>
          </w:rPr>
          <w:tab/>
        </w:r>
        <w:r w:rsidR="004F5C2B">
          <w:rPr>
            <w:noProof/>
            <w:webHidden/>
          </w:rPr>
          <w:fldChar w:fldCharType="begin"/>
        </w:r>
        <w:r w:rsidR="004F5C2B">
          <w:rPr>
            <w:noProof/>
            <w:webHidden/>
          </w:rPr>
          <w:instrText xml:space="preserve"> PAGEREF _Toc143179945 \h </w:instrText>
        </w:r>
        <w:r w:rsidR="004F5C2B">
          <w:rPr>
            <w:noProof/>
            <w:webHidden/>
          </w:rPr>
        </w:r>
        <w:r w:rsidR="004F5C2B">
          <w:rPr>
            <w:noProof/>
            <w:webHidden/>
          </w:rPr>
          <w:fldChar w:fldCharType="separate"/>
        </w:r>
        <w:r w:rsidR="004F5C2B">
          <w:rPr>
            <w:noProof/>
            <w:webHidden/>
          </w:rPr>
          <w:t>30</w:t>
        </w:r>
        <w:r w:rsidR="004F5C2B">
          <w:rPr>
            <w:noProof/>
            <w:webHidden/>
          </w:rPr>
          <w:fldChar w:fldCharType="end"/>
        </w:r>
      </w:hyperlink>
    </w:p>
    <w:p w14:paraId="516642DE" w14:textId="26892DFC"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46" w:history="1">
        <w:r w:rsidR="004F5C2B" w:rsidRPr="002D5A05">
          <w:rPr>
            <w:rStyle w:val="Hyperlink"/>
            <w:noProof/>
          </w:rPr>
          <w:t>Table 9: Debt Position as of 31</w:t>
        </w:r>
        <w:r w:rsidR="004F5C2B" w:rsidRPr="002D5A05">
          <w:rPr>
            <w:rStyle w:val="Hyperlink"/>
            <w:noProof/>
            <w:vertAlign w:val="superscript"/>
          </w:rPr>
          <w:t>st</w:t>
        </w:r>
        <w:r w:rsidR="004F5C2B" w:rsidRPr="002D5A05">
          <w:rPr>
            <w:rStyle w:val="Hyperlink"/>
            <w:noProof/>
          </w:rPr>
          <w:t xml:space="preserve"> December 2022</w:t>
        </w:r>
        <w:r w:rsidR="004F5C2B">
          <w:rPr>
            <w:noProof/>
            <w:webHidden/>
          </w:rPr>
          <w:tab/>
        </w:r>
        <w:r w:rsidR="004F5C2B">
          <w:rPr>
            <w:noProof/>
            <w:webHidden/>
          </w:rPr>
          <w:fldChar w:fldCharType="begin"/>
        </w:r>
        <w:r w:rsidR="004F5C2B">
          <w:rPr>
            <w:noProof/>
            <w:webHidden/>
          </w:rPr>
          <w:instrText xml:space="preserve"> PAGEREF _Toc143179946 \h </w:instrText>
        </w:r>
        <w:r w:rsidR="004F5C2B">
          <w:rPr>
            <w:noProof/>
            <w:webHidden/>
          </w:rPr>
        </w:r>
        <w:r w:rsidR="004F5C2B">
          <w:rPr>
            <w:noProof/>
            <w:webHidden/>
          </w:rPr>
          <w:fldChar w:fldCharType="separate"/>
        </w:r>
        <w:r w:rsidR="004F5C2B">
          <w:rPr>
            <w:noProof/>
            <w:webHidden/>
          </w:rPr>
          <w:t>31</w:t>
        </w:r>
        <w:r w:rsidR="004F5C2B">
          <w:rPr>
            <w:noProof/>
            <w:webHidden/>
          </w:rPr>
          <w:fldChar w:fldCharType="end"/>
        </w:r>
      </w:hyperlink>
    </w:p>
    <w:p w14:paraId="5B20241A" w14:textId="0136AEE3"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47" w:history="1">
        <w:r w:rsidR="004F5C2B" w:rsidRPr="002D5A05">
          <w:rPr>
            <w:rStyle w:val="Hyperlink"/>
            <w:noProof/>
          </w:rPr>
          <w:t>Table 10: Kaduna State Macroeconomic Framework</w:t>
        </w:r>
        <w:r w:rsidR="004F5C2B">
          <w:rPr>
            <w:noProof/>
            <w:webHidden/>
          </w:rPr>
          <w:tab/>
        </w:r>
        <w:r w:rsidR="004F5C2B">
          <w:rPr>
            <w:noProof/>
            <w:webHidden/>
          </w:rPr>
          <w:fldChar w:fldCharType="begin"/>
        </w:r>
        <w:r w:rsidR="004F5C2B">
          <w:rPr>
            <w:noProof/>
            <w:webHidden/>
          </w:rPr>
          <w:instrText xml:space="preserve"> PAGEREF _Toc143179947 \h </w:instrText>
        </w:r>
        <w:r w:rsidR="004F5C2B">
          <w:rPr>
            <w:noProof/>
            <w:webHidden/>
          </w:rPr>
        </w:r>
        <w:r w:rsidR="004F5C2B">
          <w:rPr>
            <w:noProof/>
            <w:webHidden/>
          </w:rPr>
          <w:fldChar w:fldCharType="separate"/>
        </w:r>
        <w:r w:rsidR="004F5C2B">
          <w:rPr>
            <w:noProof/>
            <w:webHidden/>
          </w:rPr>
          <w:t>33</w:t>
        </w:r>
        <w:r w:rsidR="004F5C2B">
          <w:rPr>
            <w:noProof/>
            <w:webHidden/>
          </w:rPr>
          <w:fldChar w:fldCharType="end"/>
        </w:r>
      </w:hyperlink>
    </w:p>
    <w:p w14:paraId="7B15D109" w14:textId="0A85E7C8"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48" w:history="1">
        <w:r w:rsidR="004F5C2B" w:rsidRPr="002D5A05">
          <w:rPr>
            <w:rStyle w:val="Hyperlink"/>
            <w:noProof/>
          </w:rPr>
          <w:t>Table 11: Kaduna State Medium Term Fiscal Framework</w:t>
        </w:r>
        <w:r w:rsidR="004F5C2B">
          <w:rPr>
            <w:noProof/>
            <w:webHidden/>
          </w:rPr>
          <w:tab/>
        </w:r>
        <w:r w:rsidR="004F5C2B">
          <w:rPr>
            <w:noProof/>
            <w:webHidden/>
          </w:rPr>
          <w:fldChar w:fldCharType="begin"/>
        </w:r>
        <w:r w:rsidR="004F5C2B">
          <w:rPr>
            <w:noProof/>
            <w:webHidden/>
          </w:rPr>
          <w:instrText xml:space="preserve"> PAGEREF _Toc143179948 \h </w:instrText>
        </w:r>
        <w:r w:rsidR="004F5C2B">
          <w:rPr>
            <w:noProof/>
            <w:webHidden/>
          </w:rPr>
        </w:r>
        <w:r w:rsidR="004F5C2B">
          <w:rPr>
            <w:noProof/>
            <w:webHidden/>
          </w:rPr>
          <w:fldChar w:fldCharType="separate"/>
        </w:r>
        <w:r w:rsidR="004F5C2B">
          <w:rPr>
            <w:noProof/>
            <w:webHidden/>
          </w:rPr>
          <w:t>35</w:t>
        </w:r>
        <w:r w:rsidR="004F5C2B">
          <w:rPr>
            <w:noProof/>
            <w:webHidden/>
          </w:rPr>
          <w:fldChar w:fldCharType="end"/>
        </w:r>
      </w:hyperlink>
    </w:p>
    <w:p w14:paraId="0F012D13" w14:textId="442CB9AF"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49" w:history="1">
        <w:r w:rsidR="004F5C2B" w:rsidRPr="002D5A05">
          <w:rPr>
            <w:rStyle w:val="Hyperlink"/>
            <w:noProof/>
          </w:rPr>
          <w:t>Table 12: Fiscal Risks</w:t>
        </w:r>
        <w:r w:rsidR="004F5C2B">
          <w:rPr>
            <w:noProof/>
            <w:webHidden/>
          </w:rPr>
          <w:tab/>
        </w:r>
        <w:r w:rsidR="004F5C2B">
          <w:rPr>
            <w:noProof/>
            <w:webHidden/>
          </w:rPr>
          <w:fldChar w:fldCharType="begin"/>
        </w:r>
        <w:r w:rsidR="004F5C2B">
          <w:rPr>
            <w:noProof/>
            <w:webHidden/>
          </w:rPr>
          <w:instrText xml:space="preserve"> PAGEREF _Toc143179949 \h </w:instrText>
        </w:r>
        <w:r w:rsidR="004F5C2B">
          <w:rPr>
            <w:noProof/>
            <w:webHidden/>
          </w:rPr>
        </w:r>
        <w:r w:rsidR="004F5C2B">
          <w:rPr>
            <w:noProof/>
            <w:webHidden/>
          </w:rPr>
          <w:fldChar w:fldCharType="separate"/>
        </w:r>
        <w:r w:rsidR="004F5C2B">
          <w:rPr>
            <w:noProof/>
            <w:webHidden/>
          </w:rPr>
          <w:t>40</w:t>
        </w:r>
        <w:r w:rsidR="004F5C2B">
          <w:rPr>
            <w:noProof/>
            <w:webHidden/>
          </w:rPr>
          <w:fldChar w:fldCharType="end"/>
        </w:r>
      </w:hyperlink>
    </w:p>
    <w:p w14:paraId="3B2AED79" w14:textId="266C0BE8"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50" w:history="1">
        <w:r w:rsidR="004F5C2B" w:rsidRPr="002D5A05">
          <w:rPr>
            <w:rStyle w:val="Hyperlink"/>
            <w:noProof/>
          </w:rPr>
          <w:t>Table 13 Local Government FAAC and Share of State IGR Estimates</w:t>
        </w:r>
        <w:r w:rsidR="004F5C2B">
          <w:rPr>
            <w:noProof/>
            <w:webHidden/>
          </w:rPr>
          <w:tab/>
        </w:r>
        <w:r w:rsidR="004F5C2B">
          <w:rPr>
            <w:noProof/>
            <w:webHidden/>
          </w:rPr>
          <w:fldChar w:fldCharType="begin"/>
        </w:r>
        <w:r w:rsidR="004F5C2B">
          <w:rPr>
            <w:noProof/>
            <w:webHidden/>
          </w:rPr>
          <w:instrText xml:space="preserve"> PAGEREF _Toc143179950 \h </w:instrText>
        </w:r>
        <w:r w:rsidR="004F5C2B">
          <w:rPr>
            <w:noProof/>
            <w:webHidden/>
          </w:rPr>
        </w:r>
        <w:r w:rsidR="004F5C2B">
          <w:rPr>
            <w:noProof/>
            <w:webHidden/>
          </w:rPr>
          <w:fldChar w:fldCharType="separate"/>
        </w:r>
        <w:r w:rsidR="004F5C2B">
          <w:rPr>
            <w:noProof/>
            <w:webHidden/>
          </w:rPr>
          <w:t>41</w:t>
        </w:r>
        <w:r w:rsidR="004F5C2B">
          <w:rPr>
            <w:noProof/>
            <w:webHidden/>
          </w:rPr>
          <w:fldChar w:fldCharType="end"/>
        </w:r>
      </w:hyperlink>
    </w:p>
    <w:p w14:paraId="78E4FDF1" w14:textId="6AB025A6"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51" w:history="1">
        <w:r w:rsidR="004F5C2B" w:rsidRPr="002D5A05">
          <w:rPr>
            <w:rStyle w:val="Hyperlink"/>
            <w:noProof/>
          </w:rPr>
          <w:t>Table 14: Indicative Sector Personnel Expenditure Ceilings 2024-2026</w:t>
        </w:r>
        <w:r w:rsidR="004F5C2B">
          <w:rPr>
            <w:noProof/>
            <w:webHidden/>
          </w:rPr>
          <w:tab/>
        </w:r>
        <w:r w:rsidR="004F5C2B">
          <w:rPr>
            <w:noProof/>
            <w:webHidden/>
          </w:rPr>
          <w:fldChar w:fldCharType="begin"/>
        </w:r>
        <w:r w:rsidR="004F5C2B">
          <w:rPr>
            <w:noProof/>
            <w:webHidden/>
          </w:rPr>
          <w:instrText xml:space="preserve"> PAGEREF _Toc143179951 \h </w:instrText>
        </w:r>
        <w:r w:rsidR="004F5C2B">
          <w:rPr>
            <w:noProof/>
            <w:webHidden/>
          </w:rPr>
        </w:r>
        <w:r w:rsidR="004F5C2B">
          <w:rPr>
            <w:noProof/>
            <w:webHidden/>
          </w:rPr>
          <w:fldChar w:fldCharType="separate"/>
        </w:r>
        <w:r w:rsidR="004F5C2B">
          <w:rPr>
            <w:noProof/>
            <w:webHidden/>
          </w:rPr>
          <w:t>46</w:t>
        </w:r>
        <w:r w:rsidR="004F5C2B">
          <w:rPr>
            <w:noProof/>
            <w:webHidden/>
          </w:rPr>
          <w:fldChar w:fldCharType="end"/>
        </w:r>
      </w:hyperlink>
    </w:p>
    <w:p w14:paraId="03EEEF3B" w14:textId="77862314"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52" w:history="1">
        <w:r w:rsidR="004F5C2B" w:rsidRPr="002D5A05">
          <w:rPr>
            <w:rStyle w:val="Hyperlink"/>
            <w:noProof/>
          </w:rPr>
          <w:t>Table 15: Indicative Sector Overhead Expenditure Ceilings 2024-2026</w:t>
        </w:r>
        <w:r w:rsidR="004F5C2B">
          <w:rPr>
            <w:noProof/>
            <w:webHidden/>
          </w:rPr>
          <w:tab/>
        </w:r>
        <w:r w:rsidR="004F5C2B">
          <w:rPr>
            <w:noProof/>
            <w:webHidden/>
          </w:rPr>
          <w:fldChar w:fldCharType="begin"/>
        </w:r>
        <w:r w:rsidR="004F5C2B">
          <w:rPr>
            <w:noProof/>
            <w:webHidden/>
          </w:rPr>
          <w:instrText xml:space="preserve"> PAGEREF _Toc143179952 \h </w:instrText>
        </w:r>
        <w:r w:rsidR="004F5C2B">
          <w:rPr>
            <w:noProof/>
            <w:webHidden/>
          </w:rPr>
        </w:r>
        <w:r w:rsidR="004F5C2B">
          <w:rPr>
            <w:noProof/>
            <w:webHidden/>
          </w:rPr>
          <w:fldChar w:fldCharType="separate"/>
        </w:r>
        <w:r w:rsidR="004F5C2B">
          <w:rPr>
            <w:noProof/>
            <w:webHidden/>
          </w:rPr>
          <w:t>47</w:t>
        </w:r>
        <w:r w:rsidR="004F5C2B">
          <w:rPr>
            <w:noProof/>
            <w:webHidden/>
          </w:rPr>
          <w:fldChar w:fldCharType="end"/>
        </w:r>
      </w:hyperlink>
    </w:p>
    <w:p w14:paraId="005C5479" w14:textId="5BBE6BFF"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53" w:history="1">
        <w:r w:rsidR="004F5C2B" w:rsidRPr="002D5A05">
          <w:rPr>
            <w:rStyle w:val="Hyperlink"/>
            <w:noProof/>
          </w:rPr>
          <w:t>Table 16: Indicative Sector Capital Expenditure Ceilings 2024-2026</w:t>
        </w:r>
        <w:r w:rsidR="004F5C2B">
          <w:rPr>
            <w:noProof/>
            <w:webHidden/>
          </w:rPr>
          <w:tab/>
        </w:r>
        <w:r w:rsidR="004F5C2B">
          <w:rPr>
            <w:noProof/>
            <w:webHidden/>
          </w:rPr>
          <w:fldChar w:fldCharType="begin"/>
        </w:r>
        <w:r w:rsidR="004F5C2B">
          <w:rPr>
            <w:noProof/>
            <w:webHidden/>
          </w:rPr>
          <w:instrText xml:space="preserve"> PAGEREF _Toc143179953 \h </w:instrText>
        </w:r>
        <w:r w:rsidR="004F5C2B">
          <w:rPr>
            <w:noProof/>
            <w:webHidden/>
          </w:rPr>
        </w:r>
        <w:r w:rsidR="004F5C2B">
          <w:rPr>
            <w:noProof/>
            <w:webHidden/>
          </w:rPr>
          <w:fldChar w:fldCharType="separate"/>
        </w:r>
        <w:r w:rsidR="004F5C2B">
          <w:rPr>
            <w:noProof/>
            <w:webHidden/>
          </w:rPr>
          <w:t>48</w:t>
        </w:r>
        <w:r w:rsidR="004F5C2B">
          <w:rPr>
            <w:noProof/>
            <w:webHidden/>
          </w:rPr>
          <w:fldChar w:fldCharType="end"/>
        </w:r>
      </w:hyperlink>
    </w:p>
    <w:p w14:paraId="7121559C" w14:textId="033D8ECA" w:rsidR="004F5C2B" w:rsidRDefault="00000000">
      <w:pPr>
        <w:pStyle w:val="TableofFigures"/>
        <w:tabs>
          <w:tab w:val="right" w:leader="dot" w:pos="8302"/>
        </w:tabs>
        <w:rPr>
          <w:rFonts w:asciiTheme="minorHAnsi" w:eastAsiaTheme="minorEastAsia" w:hAnsiTheme="minorHAnsi" w:cstheme="minorBidi"/>
          <w:noProof/>
          <w:kern w:val="2"/>
          <w:sz w:val="22"/>
          <w:szCs w:val="22"/>
          <w:lang w:val="en-NG" w:eastAsia="en-NG"/>
          <w14:ligatures w14:val="standardContextual"/>
        </w:rPr>
      </w:pPr>
      <w:hyperlink w:anchor="_Toc143179954" w:history="1">
        <w:r w:rsidR="004F5C2B" w:rsidRPr="002D5A05">
          <w:rPr>
            <w:rStyle w:val="Hyperlink"/>
            <w:noProof/>
          </w:rPr>
          <w:t>Table 17 Capital Receipts</w:t>
        </w:r>
        <w:r w:rsidR="004F5C2B">
          <w:rPr>
            <w:noProof/>
            <w:webHidden/>
          </w:rPr>
          <w:tab/>
        </w:r>
        <w:r w:rsidR="004F5C2B">
          <w:rPr>
            <w:noProof/>
            <w:webHidden/>
          </w:rPr>
          <w:fldChar w:fldCharType="begin"/>
        </w:r>
        <w:r w:rsidR="004F5C2B">
          <w:rPr>
            <w:noProof/>
            <w:webHidden/>
          </w:rPr>
          <w:instrText xml:space="preserve"> PAGEREF _Toc143179954 \h </w:instrText>
        </w:r>
        <w:r w:rsidR="004F5C2B">
          <w:rPr>
            <w:noProof/>
            <w:webHidden/>
          </w:rPr>
        </w:r>
        <w:r w:rsidR="004F5C2B">
          <w:rPr>
            <w:noProof/>
            <w:webHidden/>
          </w:rPr>
          <w:fldChar w:fldCharType="separate"/>
        </w:r>
        <w:r w:rsidR="004F5C2B">
          <w:rPr>
            <w:noProof/>
            <w:webHidden/>
          </w:rPr>
          <w:t>51</w:t>
        </w:r>
        <w:r w:rsidR="004F5C2B">
          <w:rPr>
            <w:noProof/>
            <w:webHidden/>
          </w:rPr>
          <w:fldChar w:fldCharType="end"/>
        </w:r>
      </w:hyperlink>
    </w:p>
    <w:p w14:paraId="5F496173" w14:textId="01F6580A" w:rsidR="00C96874" w:rsidRDefault="004F5C2B" w:rsidP="00C96874">
      <w:pPr>
        <w:pStyle w:val="Leader"/>
        <w:sectPr w:rsidR="00C96874" w:rsidSect="004F57E5">
          <w:pgSz w:w="11906" w:h="16838" w:code="9"/>
          <w:pgMar w:top="1440" w:right="1797" w:bottom="1440" w:left="1797" w:header="709" w:footer="709" w:gutter="0"/>
          <w:pgNumType w:fmt="lowerRoman"/>
          <w:cols w:space="708"/>
          <w:vAlign w:val="center"/>
          <w:docGrid w:linePitch="360"/>
        </w:sectPr>
      </w:pPr>
      <w:r>
        <w:fldChar w:fldCharType="end"/>
      </w:r>
    </w:p>
    <w:p w14:paraId="2DF37B0C" w14:textId="77777777" w:rsidR="00C96874" w:rsidRDefault="00C96874" w:rsidP="00C96874"/>
    <w:p w14:paraId="65A1C885" w14:textId="77777777" w:rsidR="00C873C4" w:rsidRDefault="00C873C4" w:rsidP="00C873C4">
      <w:pPr>
        <w:pStyle w:val="TOCHeader"/>
      </w:pPr>
      <w:r>
        <w:t>Abbreviations</w:t>
      </w:r>
    </w:p>
    <w:tbl>
      <w:tblPr>
        <w:tblW w:w="8748" w:type="dxa"/>
        <w:tblLook w:val="01E0" w:firstRow="1" w:lastRow="1" w:firstColumn="1" w:lastColumn="1" w:noHBand="0" w:noVBand="0"/>
      </w:tblPr>
      <w:tblGrid>
        <w:gridCol w:w="1548"/>
        <w:gridCol w:w="7200"/>
      </w:tblGrid>
      <w:tr w:rsidR="00C873C4" w:rsidRPr="005259DF" w14:paraId="6F727A60" w14:textId="77777777" w:rsidTr="00D42AA7">
        <w:tc>
          <w:tcPr>
            <w:tcW w:w="1548" w:type="dxa"/>
            <w:shd w:val="clear" w:color="auto" w:fill="auto"/>
          </w:tcPr>
          <w:p w14:paraId="0A967435" w14:textId="77777777" w:rsidR="00C873C4" w:rsidRPr="0004484E" w:rsidRDefault="00C873C4" w:rsidP="00D42AA7">
            <w:pPr>
              <w:pStyle w:val="Table"/>
              <w:rPr>
                <w:i/>
                <w:iCs/>
              </w:rPr>
            </w:pPr>
            <w:r w:rsidRPr="0004484E">
              <w:rPr>
                <w:i/>
                <w:iCs/>
              </w:rPr>
              <w:t>BRINCS</w:t>
            </w:r>
          </w:p>
        </w:tc>
        <w:tc>
          <w:tcPr>
            <w:tcW w:w="7200" w:type="dxa"/>
            <w:shd w:val="clear" w:color="auto" w:fill="auto"/>
          </w:tcPr>
          <w:p w14:paraId="48F4B938" w14:textId="77777777" w:rsidR="00C873C4" w:rsidRPr="0004484E" w:rsidRDefault="00C873C4" w:rsidP="00D42AA7">
            <w:pPr>
              <w:pStyle w:val="Table"/>
              <w:rPr>
                <w:i/>
                <w:iCs/>
                <w:lang w:val="it-IT"/>
              </w:rPr>
            </w:pPr>
            <w:r w:rsidRPr="0004484E">
              <w:rPr>
                <w:i/>
                <w:iCs/>
                <w:lang w:val="it-IT"/>
              </w:rPr>
              <w:t>Brazil, Russia, India, Nigeria, China, South Africa</w:t>
            </w:r>
          </w:p>
        </w:tc>
      </w:tr>
      <w:tr w:rsidR="00C873C4" w14:paraId="4DC706B9" w14:textId="77777777" w:rsidTr="00D42AA7">
        <w:tc>
          <w:tcPr>
            <w:tcW w:w="1548" w:type="dxa"/>
            <w:shd w:val="clear" w:color="auto" w:fill="auto"/>
          </w:tcPr>
          <w:p w14:paraId="15CD9755" w14:textId="77777777" w:rsidR="00C873C4" w:rsidRPr="0004484E" w:rsidRDefault="00C873C4" w:rsidP="00D42AA7">
            <w:pPr>
              <w:pStyle w:val="Table"/>
              <w:rPr>
                <w:i/>
                <w:iCs/>
              </w:rPr>
            </w:pPr>
            <w:r w:rsidRPr="0004484E">
              <w:rPr>
                <w:i/>
                <w:iCs/>
              </w:rPr>
              <w:t>CBN</w:t>
            </w:r>
          </w:p>
        </w:tc>
        <w:tc>
          <w:tcPr>
            <w:tcW w:w="7200" w:type="dxa"/>
            <w:shd w:val="clear" w:color="auto" w:fill="auto"/>
          </w:tcPr>
          <w:p w14:paraId="0B33656F" w14:textId="77777777" w:rsidR="00C873C4" w:rsidRPr="0004484E" w:rsidRDefault="00C873C4" w:rsidP="00D42AA7">
            <w:pPr>
              <w:pStyle w:val="Table"/>
              <w:rPr>
                <w:i/>
                <w:iCs/>
              </w:rPr>
            </w:pPr>
            <w:r w:rsidRPr="0004484E">
              <w:rPr>
                <w:i/>
                <w:iCs/>
              </w:rPr>
              <w:t>Central Bank of Nigeria</w:t>
            </w:r>
          </w:p>
        </w:tc>
      </w:tr>
      <w:tr w:rsidR="00C873C4" w14:paraId="0C0B3568" w14:textId="77777777" w:rsidTr="00D42AA7">
        <w:tc>
          <w:tcPr>
            <w:tcW w:w="1548" w:type="dxa"/>
            <w:shd w:val="clear" w:color="auto" w:fill="auto"/>
          </w:tcPr>
          <w:p w14:paraId="6759D846" w14:textId="77777777" w:rsidR="00C873C4" w:rsidRPr="0004484E" w:rsidRDefault="00C873C4" w:rsidP="00D42AA7">
            <w:pPr>
              <w:pStyle w:val="Table"/>
              <w:rPr>
                <w:i/>
                <w:iCs/>
              </w:rPr>
            </w:pPr>
            <w:r w:rsidRPr="0004484E">
              <w:rPr>
                <w:i/>
                <w:iCs/>
              </w:rPr>
              <w:t>CPIA</w:t>
            </w:r>
          </w:p>
        </w:tc>
        <w:tc>
          <w:tcPr>
            <w:tcW w:w="7200" w:type="dxa"/>
            <w:shd w:val="clear" w:color="auto" w:fill="auto"/>
          </w:tcPr>
          <w:p w14:paraId="7CCAD2F0" w14:textId="77777777" w:rsidR="00C873C4" w:rsidRPr="0004484E" w:rsidRDefault="00C873C4" w:rsidP="00D42AA7">
            <w:pPr>
              <w:pStyle w:val="Table"/>
              <w:rPr>
                <w:i/>
                <w:iCs/>
              </w:rPr>
            </w:pPr>
            <w:r w:rsidRPr="0004484E">
              <w:rPr>
                <w:i/>
                <w:iCs/>
              </w:rPr>
              <w:t>Country Policy and Institutional Assessment</w:t>
            </w:r>
          </w:p>
        </w:tc>
      </w:tr>
      <w:tr w:rsidR="00C873C4" w14:paraId="517BEC00" w14:textId="77777777" w:rsidTr="00D42AA7">
        <w:tc>
          <w:tcPr>
            <w:tcW w:w="1548" w:type="dxa"/>
            <w:shd w:val="clear" w:color="auto" w:fill="auto"/>
          </w:tcPr>
          <w:p w14:paraId="250C7FC5" w14:textId="77777777" w:rsidR="00C873C4" w:rsidRPr="0004484E" w:rsidRDefault="00C873C4" w:rsidP="00D42AA7">
            <w:pPr>
              <w:pStyle w:val="Table"/>
              <w:rPr>
                <w:i/>
                <w:iCs/>
              </w:rPr>
            </w:pPr>
            <w:r w:rsidRPr="0004484E">
              <w:rPr>
                <w:i/>
                <w:iCs/>
              </w:rPr>
              <w:t>DMD</w:t>
            </w:r>
          </w:p>
        </w:tc>
        <w:tc>
          <w:tcPr>
            <w:tcW w:w="7200" w:type="dxa"/>
            <w:shd w:val="clear" w:color="auto" w:fill="auto"/>
          </w:tcPr>
          <w:p w14:paraId="6B8E69C0" w14:textId="77777777" w:rsidR="00C873C4" w:rsidRPr="0004484E" w:rsidRDefault="00C873C4" w:rsidP="00D42AA7">
            <w:pPr>
              <w:pStyle w:val="Table"/>
              <w:rPr>
                <w:i/>
                <w:iCs/>
              </w:rPr>
            </w:pPr>
            <w:r w:rsidRPr="0004484E">
              <w:rPr>
                <w:i/>
                <w:iCs/>
              </w:rPr>
              <w:t>Debt Management Department</w:t>
            </w:r>
          </w:p>
        </w:tc>
      </w:tr>
      <w:tr w:rsidR="00C873C4" w14:paraId="70B63F18" w14:textId="77777777" w:rsidTr="00D42AA7">
        <w:tc>
          <w:tcPr>
            <w:tcW w:w="1548" w:type="dxa"/>
            <w:shd w:val="clear" w:color="auto" w:fill="auto"/>
          </w:tcPr>
          <w:p w14:paraId="1A19A294" w14:textId="77777777" w:rsidR="00C873C4" w:rsidRPr="0004484E" w:rsidRDefault="00C873C4" w:rsidP="00D42AA7">
            <w:pPr>
              <w:pStyle w:val="Table"/>
              <w:rPr>
                <w:i/>
                <w:iCs/>
              </w:rPr>
            </w:pPr>
            <w:r w:rsidRPr="0004484E">
              <w:rPr>
                <w:i/>
                <w:iCs/>
              </w:rPr>
              <w:t>EFU</w:t>
            </w:r>
          </w:p>
        </w:tc>
        <w:tc>
          <w:tcPr>
            <w:tcW w:w="7200" w:type="dxa"/>
            <w:shd w:val="clear" w:color="auto" w:fill="auto"/>
          </w:tcPr>
          <w:p w14:paraId="647ED4CA" w14:textId="77777777" w:rsidR="00C873C4" w:rsidRPr="0004484E" w:rsidRDefault="00C873C4" w:rsidP="00D42AA7">
            <w:pPr>
              <w:pStyle w:val="Table"/>
              <w:rPr>
                <w:i/>
                <w:iCs/>
              </w:rPr>
            </w:pPr>
            <w:r w:rsidRPr="0004484E">
              <w:rPr>
                <w:i/>
                <w:iCs/>
              </w:rPr>
              <w:t>Economic and Fiscal Update</w:t>
            </w:r>
          </w:p>
        </w:tc>
      </w:tr>
      <w:tr w:rsidR="00C873C4" w14:paraId="5425BEE2" w14:textId="77777777" w:rsidTr="00D42AA7">
        <w:tc>
          <w:tcPr>
            <w:tcW w:w="1548" w:type="dxa"/>
            <w:shd w:val="clear" w:color="auto" w:fill="auto"/>
          </w:tcPr>
          <w:p w14:paraId="1A9F6346" w14:textId="77777777" w:rsidR="00C873C4" w:rsidRPr="0004484E" w:rsidRDefault="00C873C4" w:rsidP="00D42AA7">
            <w:pPr>
              <w:pStyle w:val="Table"/>
              <w:rPr>
                <w:i/>
                <w:iCs/>
              </w:rPr>
            </w:pPr>
            <w:proofErr w:type="spellStart"/>
            <w:r w:rsidRPr="0004484E">
              <w:rPr>
                <w:i/>
                <w:iCs/>
              </w:rPr>
              <w:t>ExCo</w:t>
            </w:r>
            <w:proofErr w:type="spellEnd"/>
          </w:p>
        </w:tc>
        <w:tc>
          <w:tcPr>
            <w:tcW w:w="7200" w:type="dxa"/>
            <w:shd w:val="clear" w:color="auto" w:fill="auto"/>
          </w:tcPr>
          <w:p w14:paraId="6FB0291A" w14:textId="77777777" w:rsidR="00C873C4" w:rsidRPr="0004484E" w:rsidRDefault="00C873C4" w:rsidP="00D42AA7">
            <w:pPr>
              <w:pStyle w:val="Table"/>
              <w:rPr>
                <w:i/>
                <w:iCs/>
              </w:rPr>
            </w:pPr>
            <w:r w:rsidRPr="0004484E">
              <w:rPr>
                <w:i/>
                <w:iCs/>
              </w:rPr>
              <w:t>Executive Council</w:t>
            </w:r>
          </w:p>
        </w:tc>
      </w:tr>
      <w:tr w:rsidR="00C873C4" w14:paraId="26CD84CB" w14:textId="77777777" w:rsidTr="00D42AA7">
        <w:tc>
          <w:tcPr>
            <w:tcW w:w="1548" w:type="dxa"/>
            <w:shd w:val="clear" w:color="auto" w:fill="auto"/>
          </w:tcPr>
          <w:p w14:paraId="4718C86E" w14:textId="77777777" w:rsidR="00C873C4" w:rsidRPr="0004484E" w:rsidRDefault="00C873C4" w:rsidP="00D42AA7">
            <w:pPr>
              <w:pStyle w:val="Table"/>
              <w:rPr>
                <w:i/>
                <w:iCs/>
              </w:rPr>
            </w:pPr>
            <w:r w:rsidRPr="0004484E">
              <w:rPr>
                <w:i/>
                <w:iCs/>
              </w:rPr>
              <w:t>FAAC</w:t>
            </w:r>
          </w:p>
        </w:tc>
        <w:tc>
          <w:tcPr>
            <w:tcW w:w="7200" w:type="dxa"/>
            <w:shd w:val="clear" w:color="auto" w:fill="auto"/>
          </w:tcPr>
          <w:p w14:paraId="1CCE061F" w14:textId="77777777" w:rsidR="00C873C4" w:rsidRPr="0004484E" w:rsidRDefault="00C873C4" w:rsidP="00D42AA7">
            <w:pPr>
              <w:pStyle w:val="Table"/>
              <w:rPr>
                <w:i/>
                <w:iCs/>
              </w:rPr>
            </w:pPr>
            <w:r w:rsidRPr="0004484E">
              <w:rPr>
                <w:i/>
                <w:iCs/>
              </w:rPr>
              <w:t>Federal Allocation Accounts Committee</w:t>
            </w:r>
          </w:p>
        </w:tc>
      </w:tr>
      <w:tr w:rsidR="00C873C4" w14:paraId="3D7B6005" w14:textId="77777777" w:rsidTr="00D42AA7">
        <w:tc>
          <w:tcPr>
            <w:tcW w:w="1548" w:type="dxa"/>
            <w:shd w:val="clear" w:color="auto" w:fill="auto"/>
          </w:tcPr>
          <w:p w14:paraId="356C15B2" w14:textId="77777777" w:rsidR="00C873C4" w:rsidRPr="0004484E" w:rsidRDefault="00C873C4" w:rsidP="00D42AA7">
            <w:pPr>
              <w:pStyle w:val="Table"/>
              <w:rPr>
                <w:i/>
                <w:iCs/>
              </w:rPr>
            </w:pPr>
            <w:r w:rsidRPr="0004484E">
              <w:rPr>
                <w:i/>
                <w:iCs/>
              </w:rPr>
              <w:t>FSP</w:t>
            </w:r>
          </w:p>
        </w:tc>
        <w:tc>
          <w:tcPr>
            <w:tcW w:w="7200" w:type="dxa"/>
            <w:shd w:val="clear" w:color="auto" w:fill="auto"/>
          </w:tcPr>
          <w:p w14:paraId="0E891F1D" w14:textId="77777777" w:rsidR="00C873C4" w:rsidRPr="0004484E" w:rsidRDefault="00C873C4" w:rsidP="00D42AA7">
            <w:pPr>
              <w:pStyle w:val="Table"/>
              <w:rPr>
                <w:i/>
                <w:iCs/>
              </w:rPr>
            </w:pPr>
            <w:r w:rsidRPr="0004484E">
              <w:rPr>
                <w:i/>
                <w:iCs/>
              </w:rPr>
              <w:t>Fiscal Strategy Paper</w:t>
            </w:r>
          </w:p>
        </w:tc>
      </w:tr>
      <w:tr w:rsidR="00C873C4" w14:paraId="0F743CB1" w14:textId="77777777" w:rsidTr="00D42AA7">
        <w:tc>
          <w:tcPr>
            <w:tcW w:w="1548" w:type="dxa"/>
            <w:shd w:val="clear" w:color="auto" w:fill="auto"/>
          </w:tcPr>
          <w:p w14:paraId="411F7A68" w14:textId="77777777" w:rsidR="00C873C4" w:rsidRPr="0004484E" w:rsidRDefault="00C873C4" w:rsidP="00D42AA7">
            <w:pPr>
              <w:pStyle w:val="Table"/>
              <w:rPr>
                <w:i/>
                <w:iCs/>
              </w:rPr>
            </w:pPr>
            <w:r w:rsidRPr="0004484E">
              <w:rPr>
                <w:i/>
                <w:iCs/>
              </w:rPr>
              <w:t>GDP</w:t>
            </w:r>
          </w:p>
        </w:tc>
        <w:tc>
          <w:tcPr>
            <w:tcW w:w="7200" w:type="dxa"/>
            <w:shd w:val="clear" w:color="auto" w:fill="auto"/>
          </w:tcPr>
          <w:p w14:paraId="6FA7B268" w14:textId="77777777" w:rsidR="00C873C4" w:rsidRPr="0004484E" w:rsidRDefault="00C873C4" w:rsidP="00D42AA7">
            <w:pPr>
              <w:pStyle w:val="Table"/>
              <w:rPr>
                <w:i/>
                <w:iCs/>
              </w:rPr>
            </w:pPr>
            <w:r w:rsidRPr="0004484E">
              <w:rPr>
                <w:i/>
                <w:iCs/>
              </w:rPr>
              <w:t>Gross Domestic Product</w:t>
            </w:r>
          </w:p>
        </w:tc>
      </w:tr>
      <w:tr w:rsidR="00C873C4" w14:paraId="5F4BFCA4" w14:textId="77777777" w:rsidTr="00D42AA7">
        <w:tc>
          <w:tcPr>
            <w:tcW w:w="1548" w:type="dxa"/>
            <w:shd w:val="clear" w:color="auto" w:fill="auto"/>
          </w:tcPr>
          <w:p w14:paraId="7948FDFB" w14:textId="77777777" w:rsidR="00C873C4" w:rsidRPr="0004484E" w:rsidRDefault="00C873C4" w:rsidP="00D42AA7">
            <w:pPr>
              <w:pStyle w:val="Table"/>
              <w:rPr>
                <w:i/>
                <w:iCs/>
              </w:rPr>
            </w:pPr>
            <w:r w:rsidRPr="0004484E">
              <w:rPr>
                <w:i/>
                <w:iCs/>
              </w:rPr>
              <w:t>IGR</w:t>
            </w:r>
          </w:p>
        </w:tc>
        <w:tc>
          <w:tcPr>
            <w:tcW w:w="7200" w:type="dxa"/>
            <w:shd w:val="clear" w:color="auto" w:fill="auto"/>
          </w:tcPr>
          <w:p w14:paraId="0044826B" w14:textId="77777777" w:rsidR="00C873C4" w:rsidRPr="0004484E" w:rsidRDefault="00C873C4" w:rsidP="00D42AA7">
            <w:pPr>
              <w:pStyle w:val="Table"/>
              <w:rPr>
                <w:i/>
                <w:iCs/>
              </w:rPr>
            </w:pPr>
            <w:r w:rsidRPr="0004484E">
              <w:rPr>
                <w:i/>
                <w:iCs/>
              </w:rPr>
              <w:t>Internally Generated Revenue</w:t>
            </w:r>
          </w:p>
        </w:tc>
      </w:tr>
      <w:tr w:rsidR="00C873C4" w14:paraId="59ABCB8A" w14:textId="77777777" w:rsidTr="00D42AA7">
        <w:tc>
          <w:tcPr>
            <w:tcW w:w="1548" w:type="dxa"/>
            <w:shd w:val="clear" w:color="auto" w:fill="auto"/>
          </w:tcPr>
          <w:p w14:paraId="0127FB25" w14:textId="77777777" w:rsidR="00C873C4" w:rsidRPr="0004484E" w:rsidRDefault="00C873C4" w:rsidP="00D42AA7">
            <w:pPr>
              <w:pStyle w:val="Table"/>
              <w:rPr>
                <w:i/>
                <w:iCs/>
              </w:rPr>
            </w:pPr>
            <w:r w:rsidRPr="0004484E">
              <w:rPr>
                <w:i/>
                <w:iCs/>
              </w:rPr>
              <w:t>IMF</w:t>
            </w:r>
          </w:p>
        </w:tc>
        <w:tc>
          <w:tcPr>
            <w:tcW w:w="7200" w:type="dxa"/>
            <w:shd w:val="clear" w:color="auto" w:fill="auto"/>
          </w:tcPr>
          <w:p w14:paraId="75DA7AF4" w14:textId="77777777" w:rsidR="00C873C4" w:rsidRPr="0004484E" w:rsidRDefault="00C873C4" w:rsidP="00D42AA7">
            <w:pPr>
              <w:pStyle w:val="Table"/>
              <w:rPr>
                <w:i/>
                <w:iCs/>
              </w:rPr>
            </w:pPr>
            <w:r w:rsidRPr="0004484E">
              <w:rPr>
                <w:i/>
                <w:iCs/>
              </w:rPr>
              <w:t>International Monetary Fund</w:t>
            </w:r>
          </w:p>
        </w:tc>
      </w:tr>
      <w:tr w:rsidR="00C873C4" w14:paraId="4C6FADEC" w14:textId="77777777" w:rsidTr="00D42AA7">
        <w:tc>
          <w:tcPr>
            <w:tcW w:w="1548" w:type="dxa"/>
            <w:shd w:val="clear" w:color="auto" w:fill="auto"/>
          </w:tcPr>
          <w:p w14:paraId="2EAC5DE7" w14:textId="77777777" w:rsidR="00C873C4" w:rsidRPr="0004484E" w:rsidRDefault="00C873C4" w:rsidP="00D42AA7">
            <w:pPr>
              <w:pStyle w:val="Table"/>
              <w:rPr>
                <w:i/>
                <w:iCs/>
              </w:rPr>
            </w:pPr>
            <w:r w:rsidRPr="0004484E">
              <w:rPr>
                <w:i/>
                <w:iCs/>
              </w:rPr>
              <w:t>KADIRS</w:t>
            </w:r>
          </w:p>
        </w:tc>
        <w:tc>
          <w:tcPr>
            <w:tcW w:w="7200" w:type="dxa"/>
            <w:shd w:val="clear" w:color="auto" w:fill="auto"/>
          </w:tcPr>
          <w:p w14:paraId="259B288F" w14:textId="77777777" w:rsidR="00C873C4" w:rsidRPr="0004484E" w:rsidRDefault="00C873C4" w:rsidP="00D42AA7">
            <w:pPr>
              <w:pStyle w:val="Table"/>
              <w:rPr>
                <w:i/>
                <w:iCs/>
              </w:rPr>
            </w:pPr>
            <w:r w:rsidRPr="0004484E">
              <w:rPr>
                <w:i/>
                <w:iCs/>
              </w:rPr>
              <w:t>Kaduna Internal Revenue Service</w:t>
            </w:r>
          </w:p>
        </w:tc>
      </w:tr>
      <w:tr w:rsidR="00C873C4" w14:paraId="17727EF9" w14:textId="77777777" w:rsidTr="00D42AA7">
        <w:tc>
          <w:tcPr>
            <w:tcW w:w="1548" w:type="dxa"/>
            <w:shd w:val="clear" w:color="auto" w:fill="auto"/>
          </w:tcPr>
          <w:p w14:paraId="73700482" w14:textId="77777777" w:rsidR="00C873C4" w:rsidRPr="0004484E" w:rsidRDefault="00C873C4" w:rsidP="00D42AA7">
            <w:pPr>
              <w:pStyle w:val="Table"/>
              <w:rPr>
                <w:i/>
                <w:iCs/>
              </w:rPr>
            </w:pPr>
            <w:r w:rsidRPr="0004484E">
              <w:rPr>
                <w:i/>
                <w:iCs/>
              </w:rPr>
              <w:t>KDSG</w:t>
            </w:r>
          </w:p>
        </w:tc>
        <w:tc>
          <w:tcPr>
            <w:tcW w:w="7200" w:type="dxa"/>
            <w:shd w:val="clear" w:color="auto" w:fill="auto"/>
          </w:tcPr>
          <w:p w14:paraId="2B69DDE6" w14:textId="77777777" w:rsidR="00C873C4" w:rsidRPr="0004484E" w:rsidRDefault="00C873C4" w:rsidP="00D42AA7">
            <w:pPr>
              <w:pStyle w:val="Table"/>
              <w:rPr>
                <w:i/>
                <w:iCs/>
              </w:rPr>
            </w:pPr>
            <w:r w:rsidRPr="0004484E">
              <w:rPr>
                <w:i/>
                <w:iCs/>
              </w:rPr>
              <w:t>Kaduna State Government</w:t>
            </w:r>
          </w:p>
        </w:tc>
      </w:tr>
      <w:tr w:rsidR="00C873C4" w14:paraId="1A2D7D5D" w14:textId="77777777" w:rsidTr="00D42AA7">
        <w:tc>
          <w:tcPr>
            <w:tcW w:w="1548" w:type="dxa"/>
            <w:shd w:val="clear" w:color="auto" w:fill="auto"/>
          </w:tcPr>
          <w:p w14:paraId="1E7DD5B3" w14:textId="77777777" w:rsidR="00C873C4" w:rsidRPr="0004484E" w:rsidRDefault="00C873C4" w:rsidP="00D42AA7">
            <w:pPr>
              <w:pStyle w:val="Table"/>
              <w:rPr>
                <w:i/>
                <w:iCs/>
              </w:rPr>
            </w:pPr>
            <w:r w:rsidRPr="0004484E">
              <w:rPr>
                <w:i/>
                <w:iCs/>
              </w:rPr>
              <w:t>MDA</w:t>
            </w:r>
          </w:p>
        </w:tc>
        <w:tc>
          <w:tcPr>
            <w:tcW w:w="7200" w:type="dxa"/>
            <w:shd w:val="clear" w:color="auto" w:fill="auto"/>
          </w:tcPr>
          <w:p w14:paraId="5C7BF331" w14:textId="77777777" w:rsidR="00C873C4" w:rsidRPr="0004484E" w:rsidRDefault="00C873C4" w:rsidP="00D42AA7">
            <w:pPr>
              <w:pStyle w:val="Table"/>
              <w:rPr>
                <w:i/>
                <w:iCs/>
              </w:rPr>
            </w:pPr>
            <w:r w:rsidRPr="0004484E">
              <w:rPr>
                <w:i/>
                <w:iCs/>
              </w:rPr>
              <w:t>Ministry, Department and Agencies</w:t>
            </w:r>
          </w:p>
        </w:tc>
      </w:tr>
      <w:tr w:rsidR="00C873C4" w14:paraId="4E447394" w14:textId="77777777" w:rsidTr="00D42AA7">
        <w:tc>
          <w:tcPr>
            <w:tcW w:w="1548" w:type="dxa"/>
            <w:shd w:val="clear" w:color="auto" w:fill="auto"/>
          </w:tcPr>
          <w:p w14:paraId="5E2F151A" w14:textId="77777777" w:rsidR="00C873C4" w:rsidRPr="0004484E" w:rsidRDefault="00C873C4" w:rsidP="00D42AA7">
            <w:pPr>
              <w:pStyle w:val="Table"/>
              <w:rPr>
                <w:i/>
                <w:iCs/>
              </w:rPr>
            </w:pPr>
            <w:r w:rsidRPr="0004484E">
              <w:rPr>
                <w:i/>
                <w:iCs/>
              </w:rPr>
              <w:t>MOF</w:t>
            </w:r>
          </w:p>
        </w:tc>
        <w:tc>
          <w:tcPr>
            <w:tcW w:w="7200" w:type="dxa"/>
            <w:shd w:val="clear" w:color="auto" w:fill="auto"/>
          </w:tcPr>
          <w:p w14:paraId="4F4968C0" w14:textId="77777777" w:rsidR="00C873C4" w:rsidRPr="0004484E" w:rsidRDefault="00C873C4" w:rsidP="00D42AA7">
            <w:pPr>
              <w:pStyle w:val="Table"/>
              <w:rPr>
                <w:i/>
                <w:iCs/>
              </w:rPr>
            </w:pPr>
            <w:r w:rsidRPr="0004484E">
              <w:rPr>
                <w:i/>
                <w:iCs/>
              </w:rPr>
              <w:t>Ministry of Finance</w:t>
            </w:r>
          </w:p>
        </w:tc>
      </w:tr>
      <w:tr w:rsidR="00C873C4" w14:paraId="539859FE" w14:textId="77777777" w:rsidTr="00D42AA7">
        <w:tc>
          <w:tcPr>
            <w:tcW w:w="1548" w:type="dxa"/>
            <w:shd w:val="clear" w:color="auto" w:fill="auto"/>
          </w:tcPr>
          <w:p w14:paraId="3312C8D6" w14:textId="77777777" w:rsidR="00C873C4" w:rsidRPr="0004484E" w:rsidRDefault="00C873C4" w:rsidP="00D42AA7">
            <w:pPr>
              <w:pStyle w:val="Table"/>
              <w:rPr>
                <w:i/>
                <w:iCs/>
              </w:rPr>
            </w:pPr>
            <w:r w:rsidRPr="0004484E">
              <w:rPr>
                <w:i/>
                <w:iCs/>
              </w:rPr>
              <w:t>MTBF</w:t>
            </w:r>
          </w:p>
        </w:tc>
        <w:tc>
          <w:tcPr>
            <w:tcW w:w="7200" w:type="dxa"/>
            <w:shd w:val="clear" w:color="auto" w:fill="auto"/>
          </w:tcPr>
          <w:p w14:paraId="72AF8BF0" w14:textId="77777777" w:rsidR="00C873C4" w:rsidRPr="0004484E" w:rsidRDefault="00C873C4" w:rsidP="00D42AA7">
            <w:pPr>
              <w:pStyle w:val="Table"/>
              <w:rPr>
                <w:i/>
                <w:iCs/>
              </w:rPr>
            </w:pPr>
            <w:r w:rsidRPr="0004484E">
              <w:rPr>
                <w:i/>
                <w:iCs/>
              </w:rPr>
              <w:t>Medium Term Budget Framework</w:t>
            </w:r>
          </w:p>
        </w:tc>
      </w:tr>
      <w:tr w:rsidR="00C873C4" w14:paraId="7716EEB4" w14:textId="77777777" w:rsidTr="00D42AA7">
        <w:tc>
          <w:tcPr>
            <w:tcW w:w="1548" w:type="dxa"/>
            <w:shd w:val="clear" w:color="auto" w:fill="auto"/>
          </w:tcPr>
          <w:p w14:paraId="16C13D04" w14:textId="77777777" w:rsidR="00C873C4" w:rsidRPr="0004484E" w:rsidRDefault="00C873C4" w:rsidP="00D42AA7">
            <w:pPr>
              <w:pStyle w:val="Table"/>
              <w:rPr>
                <w:i/>
                <w:iCs/>
              </w:rPr>
            </w:pPr>
            <w:r w:rsidRPr="0004484E">
              <w:rPr>
                <w:i/>
                <w:iCs/>
              </w:rPr>
              <w:t>MTEF</w:t>
            </w:r>
          </w:p>
        </w:tc>
        <w:tc>
          <w:tcPr>
            <w:tcW w:w="7200" w:type="dxa"/>
            <w:shd w:val="clear" w:color="auto" w:fill="auto"/>
          </w:tcPr>
          <w:p w14:paraId="0E4E90D5" w14:textId="77777777" w:rsidR="00C873C4" w:rsidRPr="0004484E" w:rsidRDefault="00C873C4" w:rsidP="00D42AA7">
            <w:pPr>
              <w:pStyle w:val="Table"/>
              <w:rPr>
                <w:i/>
                <w:iCs/>
              </w:rPr>
            </w:pPr>
            <w:r w:rsidRPr="0004484E">
              <w:rPr>
                <w:i/>
                <w:iCs/>
              </w:rPr>
              <w:t>Medium Term Expenditure Framework</w:t>
            </w:r>
          </w:p>
        </w:tc>
      </w:tr>
      <w:tr w:rsidR="00C873C4" w14:paraId="30235D79" w14:textId="77777777" w:rsidTr="00D42AA7">
        <w:tc>
          <w:tcPr>
            <w:tcW w:w="1548" w:type="dxa"/>
            <w:shd w:val="clear" w:color="auto" w:fill="auto"/>
          </w:tcPr>
          <w:p w14:paraId="45D0597D" w14:textId="77777777" w:rsidR="00C873C4" w:rsidRPr="0004484E" w:rsidRDefault="00C873C4" w:rsidP="00D42AA7">
            <w:pPr>
              <w:pStyle w:val="Table"/>
              <w:rPr>
                <w:i/>
                <w:iCs/>
              </w:rPr>
            </w:pPr>
            <w:r w:rsidRPr="0004484E">
              <w:rPr>
                <w:i/>
                <w:iCs/>
              </w:rPr>
              <w:t>MTFF</w:t>
            </w:r>
          </w:p>
        </w:tc>
        <w:tc>
          <w:tcPr>
            <w:tcW w:w="7200" w:type="dxa"/>
            <w:shd w:val="clear" w:color="auto" w:fill="auto"/>
          </w:tcPr>
          <w:p w14:paraId="6505F20A" w14:textId="77777777" w:rsidR="00C873C4" w:rsidRPr="0004484E" w:rsidRDefault="00C873C4" w:rsidP="00D42AA7">
            <w:pPr>
              <w:pStyle w:val="Table"/>
              <w:rPr>
                <w:i/>
                <w:iCs/>
              </w:rPr>
            </w:pPr>
            <w:r w:rsidRPr="0004484E">
              <w:rPr>
                <w:i/>
                <w:iCs/>
              </w:rPr>
              <w:t>Medium Term Fiscal Framework</w:t>
            </w:r>
          </w:p>
        </w:tc>
      </w:tr>
      <w:tr w:rsidR="00C873C4" w14:paraId="14BFCB54" w14:textId="77777777" w:rsidTr="00D42AA7">
        <w:tc>
          <w:tcPr>
            <w:tcW w:w="1548" w:type="dxa"/>
            <w:shd w:val="clear" w:color="auto" w:fill="auto"/>
          </w:tcPr>
          <w:p w14:paraId="57C5BDC0" w14:textId="77777777" w:rsidR="00C873C4" w:rsidRPr="0004484E" w:rsidRDefault="00C873C4" w:rsidP="00D42AA7">
            <w:pPr>
              <w:pStyle w:val="Table"/>
              <w:rPr>
                <w:i/>
                <w:iCs/>
              </w:rPr>
            </w:pPr>
            <w:r w:rsidRPr="0004484E">
              <w:rPr>
                <w:i/>
                <w:iCs/>
              </w:rPr>
              <w:t>NBS</w:t>
            </w:r>
          </w:p>
        </w:tc>
        <w:tc>
          <w:tcPr>
            <w:tcW w:w="7200" w:type="dxa"/>
            <w:shd w:val="clear" w:color="auto" w:fill="auto"/>
          </w:tcPr>
          <w:p w14:paraId="580D63F0" w14:textId="77777777" w:rsidR="00C873C4" w:rsidRPr="0004484E" w:rsidRDefault="00C873C4" w:rsidP="00D42AA7">
            <w:pPr>
              <w:pStyle w:val="Table"/>
              <w:rPr>
                <w:i/>
                <w:iCs/>
              </w:rPr>
            </w:pPr>
            <w:r w:rsidRPr="0004484E">
              <w:rPr>
                <w:i/>
                <w:iCs/>
              </w:rPr>
              <w:t>National Bureau of Statistics</w:t>
            </w:r>
          </w:p>
        </w:tc>
      </w:tr>
      <w:tr w:rsidR="00C873C4" w14:paraId="551464A8" w14:textId="77777777" w:rsidTr="00D42AA7">
        <w:tc>
          <w:tcPr>
            <w:tcW w:w="1548" w:type="dxa"/>
            <w:shd w:val="clear" w:color="auto" w:fill="auto"/>
          </w:tcPr>
          <w:p w14:paraId="1CE80087" w14:textId="77777777" w:rsidR="00C873C4" w:rsidRPr="0004484E" w:rsidRDefault="00C873C4" w:rsidP="00D42AA7">
            <w:pPr>
              <w:pStyle w:val="Table"/>
              <w:rPr>
                <w:i/>
                <w:iCs/>
              </w:rPr>
            </w:pPr>
            <w:r w:rsidRPr="0004484E">
              <w:rPr>
                <w:i/>
                <w:iCs/>
              </w:rPr>
              <w:t>NNPC</w:t>
            </w:r>
          </w:p>
        </w:tc>
        <w:tc>
          <w:tcPr>
            <w:tcW w:w="7200" w:type="dxa"/>
            <w:shd w:val="clear" w:color="auto" w:fill="auto"/>
          </w:tcPr>
          <w:p w14:paraId="0B68F890" w14:textId="77777777" w:rsidR="00C873C4" w:rsidRPr="0004484E" w:rsidRDefault="00C873C4" w:rsidP="00D42AA7">
            <w:pPr>
              <w:pStyle w:val="Table"/>
              <w:rPr>
                <w:i/>
                <w:iCs/>
              </w:rPr>
            </w:pPr>
            <w:r w:rsidRPr="0004484E">
              <w:rPr>
                <w:i/>
                <w:iCs/>
              </w:rPr>
              <w:t>Nigerian National Petroleum Company</w:t>
            </w:r>
          </w:p>
        </w:tc>
      </w:tr>
      <w:tr w:rsidR="00C873C4" w14:paraId="2C4747BA" w14:textId="77777777" w:rsidTr="00D42AA7">
        <w:tc>
          <w:tcPr>
            <w:tcW w:w="1548" w:type="dxa"/>
            <w:shd w:val="clear" w:color="auto" w:fill="auto"/>
          </w:tcPr>
          <w:p w14:paraId="0A6671A7" w14:textId="77777777" w:rsidR="00C873C4" w:rsidRPr="0004484E" w:rsidRDefault="00C873C4" w:rsidP="00D42AA7">
            <w:pPr>
              <w:pStyle w:val="Table"/>
              <w:rPr>
                <w:i/>
                <w:iCs/>
              </w:rPr>
            </w:pPr>
            <w:r w:rsidRPr="0004484E">
              <w:rPr>
                <w:i/>
                <w:iCs/>
              </w:rPr>
              <w:t>NPC</w:t>
            </w:r>
          </w:p>
        </w:tc>
        <w:tc>
          <w:tcPr>
            <w:tcW w:w="7200" w:type="dxa"/>
            <w:shd w:val="clear" w:color="auto" w:fill="auto"/>
          </w:tcPr>
          <w:p w14:paraId="1722C75F" w14:textId="77777777" w:rsidR="00C873C4" w:rsidRPr="0004484E" w:rsidRDefault="00C873C4" w:rsidP="00D42AA7">
            <w:pPr>
              <w:pStyle w:val="Table"/>
              <w:rPr>
                <w:i/>
                <w:iCs/>
              </w:rPr>
            </w:pPr>
            <w:r w:rsidRPr="0004484E">
              <w:rPr>
                <w:i/>
                <w:iCs/>
              </w:rPr>
              <w:t>National Planning Commission</w:t>
            </w:r>
          </w:p>
        </w:tc>
      </w:tr>
      <w:tr w:rsidR="00C873C4" w14:paraId="04DB4D04" w14:textId="77777777" w:rsidTr="00D42AA7">
        <w:tc>
          <w:tcPr>
            <w:tcW w:w="1548" w:type="dxa"/>
            <w:shd w:val="clear" w:color="auto" w:fill="auto"/>
          </w:tcPr>
          <w:p w14:paraId="45977799" w14:textId="77777777" w:rsidR="00C873C4" w:rsidRPr="0004484E" w:rsidRDefault="00C873C4" w:rsidP="00D42AA7">
            <w:pPr>
              <w:pStyle w:val="Table"/>
              <w:rPr>
                <w:i/>
                <w:iCs/>
              </w:rPr>
            </w:pPr>
            <w:r w:rsidRPr="0004484E">
              <w:rPr>
                <w:i/>
                <w:iCs/>
              </w:rPr>
              <w:t>OAG</w:t>
            </w:r>
          </w:p>
        </w:tc>
        <w:tc>
          <w:tcPr>
            <w:tcW w:w="7200" w:type="dxa"/>
            <w:shd w:val="clear" w:color="auto" w:fill="auto"/>
          </w:tcPr>
          <w:p w14:paraId="5ED3F7EE" w14:textId="77777777" w:rsidR="00C873C4" w:rsidRPr="0004484E" w:rsidRDefault="00C873C4" w:rsidP="00D42AA7">
            <w:pPr>
              <w:pStyle w:val="Table"/>
              <w:rPr>
                <w:i/>
                <w:iCs/>
              </w:rPr>
            </w:pPr>
            <w:r w:rsidRPr="0004484E">
              <w:rPr>
                <w:i/>
                <w:iCs/>
              </w:rPr>
              <w:t>Office of the Accountant General</w:t>
            </w:r>
          </w:p>
        </w:tc>
      </w:tr>
      <w:tr w:rsidR="00C873C4" w14:paraId="5BEDF535" w14:textId="77777777" w:rsidTr="00D42AA7">
        <w:tc>
          <w:tcPr>
            <w:tcW w:w="1548" w:type="dxa"/>
            <w:shd w:val="clear" w:color="auto" w:fill="auto"/>
          </w:tcPr>
          <w:p w14:paraId="6C2646FA" w14:textId="77777777" w:rsidR="00C873C4" w:rsidRPr="0004484E" w:rsidRDefault="00C873C4" w:rsidP="00D42AA7">
            <w:pPr>
              <w:pStyle w:val="Table"/>
              <w:rPr>
                <w:i/>
                <w:iCs/>
              </w:rPr>
            </w:pPr>
            <w:r w:rsidRPr="0004484E">
              <w:rPr>
                <w:i/>
                <w:iCs/>
              </w:rPr>
              <w:t>PFM</w:t>
            </w:r>
          </w:p>
        </w:tc>
        <w:tc>
          <w:tcPr>
            <w:tcW w:w="7200" w:type="dxa"/>
            <w:shd w:val="clear" w:color="auto" w:fill="auto"/>
          </w:tcPr>
          <w:p w14:paraId="137DCB53" w14:textId="77777777" w:rsidR="00C873C4" w:rsidRPr="0004484E" w:rsidRDefault="00C873C4" w:rsidP="00D42AA7">
            <w:pPr>
              <w:pStyle w:val="Table"/>
              <w:rPr>
                <w:i/>
                <w:iCs/>
              </w:rPr>
            </w:pPr>
            <w:r w:rsidRPr="0004484E">
              <w:rPr>
                <w:i/>
                <w:iCs/>
              </w:rPr>
              <w:t>Public Financial Management</w:t>
            </w:r>
          </w:p>
        </w:tc>
      </w:tr>
      <w:tr w:rsidR="00C873C4" w14:paraId="03812309" w14:textId="77777777" w:rsidTr="00D42AA7">
        <w:tc>
          <w:tcPr>
            <w:tcW w:w="1548" w:type="dxa"/>
            <w:shd w:val="clear" w:color="auto" w:fill="auto"/>
          </w:tcPr>
          <w:p w14:paraId="52E4EC16" w14:textId="77777777" w:rsidR="00C873C4" w:rsidRPr="0004484E" w:rsidRDefault="00C873C4" w:rsidP="00D42AA7">
            <w:pPr>
              <w:pStyle w:val="Table"/>
              <w:rPr>
                <w:i/>
                <w:iCs/>
              </w:rPr>
            </w:pPr>
            <w:r w:rsidRPr="0004484E">
              <w:rPr>
                <w:i/>
                <w:iCs/>
              </w:rPr>
              <w:t>PIB</w:t>
            </w:r>
          </w:p>
        </w:tc>
        <w:tc>
          <w:tcPr>
            <w:tcW w:w="7200" w:type="dxa"/>
            <w:shd w:val="clear" w:color="auto" w:fill="auto"/>
          </w:tcPr>
          <w:p w14:paraId="3341EF2B" w14:textId="77777777" w:rsidR="00C873C4" w:rsidRPr="0004484E" w:rsidRDefault="00C873C4" w:rsidP="00D42AA7">
            <w:pPr>
              <w:pStyle w:val="Table"/>
              <w:rPr>
                <w:i/>
                <w:iCs/>
              </w:rPr>
            </w:pPr>
            <w:r w:rsidRPr="0004484E">
              <w:rPr>
                <w:i/>
                <w:iCs/>
              </w:rPr>
              <w:t>Petroleum Industry Bill</w:t>
            </w:r>
          </w:p>
        </w:tc>
      </w:tr>
      <w:tr w:rsidR="00C873C4" w14:paraId="33F02046" w14:textId="77777777" w:rsidTr="00D42AA7">
        <w:tc>
          <w:tcPr>
            <w:tcW w:w="1548" w:type="dxa"/>
            <w:shd w:val="clear" w:color="auto" w:fill="auto"/>
          </w:tcPr>
          <w:p w14:paraId="0C29BEA7" w14:textId="77777777" w:rsidR="00C873C4" w:rsidRPr="0004484E" w:rsidRDefault="00C873C4" w:rsidP="00D42AA7">
            <w:pPr>
              <w:pStyle w:val="Table"/>
              <w:rPr>
                <w:i/>
                <w:iCs/>
              </w:rPr>
            </w:pPr>
            <w:r w:rsidRPr="0004484E">
              <w:rPr>
                <w:i/>
                <w:iCs/>
              </w:rPr>
              <w:t>PBC</w:t>
            </w:r>
          </w:p>
        </w:tc>
        <w:tc>
          <w:tcPr>
            <w:tcW w:w="7200" w:type="dxa"/>
            <w:shd w:val="clear" w:color="auto" w:fill="auto"/>
          </w:tcPr>
          <w:p w14:paraId="3883D0DA" w14:textId="77777777" w:rsidR="00C873C4" w:rsidRPr="0004484E" w:rsidRDefault="00C873C4" w:rsidP="00D42AA7">
            <w:pPr>
              <w:pStyle w:val="Table"/>
              <w:rPr>
                <w:i/>
                <w:iCs/>
              </w:rPr>
            </w:pPr>
            <w:r w:rsidRPr="0004484E">
              <w:rPr>
                <w:i/>
                <w:iCs/>
              </w:rPr>
              <w:t>Planning and Budget Commission</w:t>
            </w:r>
          </w:p>
        </w:tc>
      </w:tr>
      <w:tr w:rsidR="00C873C4" w14:paraId="1B6EAB32" w14:textId="77777777" w:rsidTr="00D42AA7">
        <w:tc>
          <w:tcPr>
            <w:tcW w:w="1548" w:type="dxa"/>
            <w:shd w:val="clear" w:color="auto" w:fill="auto"/>
          </w:tcPr>
          <w:p w14:paraId="1E12F88B" w14:textId="77777777" w:rsidR="00C873C4" w:rsidRPr="0004484E" w:rsidRDefault="00C873C4" w:rsidP="00D42AA7">
            <w:pPr>
              <w:pStyle w:val="Table"/>
              <w:rPr>
                <w:i/>
                <w:iCs/>
              </w:rPr>
            </w:pPr>
            <w:r w:rsidRPr="0004484E">
              <w:rPr>
                <w:i/>
                <w:iCs/>
              </w:rPr>
              <w:t>PITA</w:t>
            </w:r>
          </w:p>
        </w:tc>
        <w:tc>
          <w:tcPr>
            <w:tcW w:w="7200" w:type="dxa"/>
            <w:shd w:val="clear" w:color="auto" w:fill="auto"/>
          </w:tcPr>
          <w:p w14:paraId="58D5C18A" w14:textId="77777777" w:rsidR="00C873C4" w:rsidRPr="0004484E" w:rsidRDefault="00C873C4" w:rsidP="00D42AA7">
            <w:pPr>
              <w:pStyle w:val="Table"/>
              <w:rPr>
                <w:i/>
                <w:iCs/>
              </w:rPr>
            </w:pPr>
            <w:r w:rsidRPr="0004484E">
              <w:rPr>
                <w:i/>
                <w:iCs/>
              </w:rPr>
              <w:t>Personal Income Tax Act</w:t>
            </w:r>
          </w:p>
        </w:tc>
      </w:tr>
      <w:tr w:rsidR="00C873C4" w14:paraId="0731FD4C" w14:textId="77777777" w:rsidTr="00D42AA7">
        <w:tc>
          <w:tcPr>
            <w:tcW w:w="1548" w:type="dxa"/>
            <w:shd w:val="clear" w:color="auto" w:fill="auto"/>
          </w:tcPr>
          <w:p w14:paraId="7FAA4B64" w14:textId="77777777" w:rsidR="00C873C4" w:rsidRPr="0004484E" w:rsidRDefault="00C873C4" w:rsidP="00D42AA7">
            <w:pPr>
              <w:pStyle w:val="Table"/>
              <w:rPr>
                <w:i/>
                <w:iCs/>
              </w:rPr>
            </w:pPr>
            <w:r w:rsidRPr="0004484E">
              <w:rPr>
                <w:i/>
                <w:iCs/>
              </w:rPr>
              <w:t>PMS</w:t>
            </w:r>
          </w:p>
        </w:tc>
        <w:tc>
          <w:tcPr>
            <w:tcW w:w="7200" w:type="dxa"/>
            <w:shd w:val="clear" w:color="auto" w:fill="auto"/>
          </w:tcPr>
          <w:p w14:paraId="431B3E4E" w14:textId="77777777" w:rsidR="00C873C4" w:rsidRPr="0004484E" w:rsidRDefault="00C873C4" w:rsidP="00D42AA7">
            <w:pPr>
              <w:pStyle w:val="Table"/>
              <w:rPr>
                <w:i/>
                <w:iCs/>
              </w:rPr>
            </w:pPr>
            <w:r w:rsidRPr="0004484E">
              <w:rPr>
                <w:i/>
                <w:iCs/>
              </w:rPr>
              <w:t>Petroleum</w:t>
            </w:r>
          </w:p>
        </w:tc>
      </w:tr>
      <w:tr w:rsidR="00C873C4" w14:paraId="48C2C162" w14:textId="77777777" w:rsidTr="00D42AA7">
        <w:tc>
          <w:tcPr>
            <w:tcW w:w="1548" w:type="dxa"/>
            <w:shd w:val="clear" w:color="auto" w:fill="auto"/>
          </w:tcPr>
          <w:p w14:paraId="23CF009D" w14:textId="77777777" w:rsidR="00C873C4" w:rsidRPr="0004484E" w:rsidRDefault="00C873C4" w:rsidP="00D42AA7">
            <w:pPr>
              <w:pStyle w:val="Table"/>
              <w:rPr>
                <w:i/>
                <w:iCs/>
              </w:rPr>
            </w:pPr>
            <w:r w:rsidRPr="0004484E">
              <w:rPr>
                <w:i/>
                <w:iCs/>
              </w:rPr>
              <w:t>SHoA</w:t>
            </w:r>
          </w:p>
        </w:tc>
        <w:tc>
          <w:tcPr>
            <w:tcW w:w="7200" w:type="dxa"/>
            <w:shd w:val="clear" w:color="auto" w:fill="auto"/>
          </w:tcPr>
          <w:p w14:paraId="57573CC2" w14:textId="77777777" w:rsidR="00C873C4" w:rsidRPr="0004484E" w:rsidRDefault="00C873C4" w:rsidP="00D42AA7">
            <w:pPr>
              <w:pStyle w:val="Table"/>
              <w:rPr>
                <w:i/>
                <w:iCs/>
              </w:rPr>
            </w:pPr>
            <w:r w:rsidRPr="0004484E">
              <w:rPr>
                <w:i/>
                <w:iCs/>
              </w:rPr>
              <w:t>State House of Assembly</w:t>
            </w:r>
          </w:p>
        </w:tc>
      </w:tr>
      <w:tr w:rsidR="00C873C4" w14:paraId="27CF05DE" w14:textId="77777777" w:rsidTr="00D42AA7">
        <w:tc>
          <w:tcPr>
            <w:tcW w:w="1548" w:type="dxa"/>
            <w:shd w:val="clear" w:color="auto" w:fill="auto"/>
          </w:tcPr>
          <w:p w14:paraId="72819D72" w14:textId="77777777" w:rsidR="00C873C4" w:rsidRPr="0004484E" w:rsidRDefault="00C873C4" w:rsidP="00D42AA7">
            <w:pPr>
              <w:pStyle w:val="Table"/>
              <w:rPr>
                <w:i/>
                <w:iCs/>
              </w:rPr>
            </w:pPr>
            <w:r w:rsidRPr="0004484E">
              <w:rPr>
                <w:i/>
                <w:iCs/>
              </w:rPr>
              <w:t>SIP</w:t>
            </w:r>
          </w:p>
        </w:tc>
        <w:tc>
          <w:tcPr>
            <w:tcW w:w="7200" w:type="dxa"/>
            <w:shd w:val="clear" w:color="auto" w:fill="auto"/>
          </w:tcPr>
          <w:p w14:paraId="71821E3D" w14:textId="77777777" w:rsidR="00C873C4" w:rsidRPr="0004484E" w:rsidRDefault="00C873C4" w:rsidP="00D42AA7">
            <w:pPr>
              <w:pStyle w:val="Table"/>
              <w:rPr>
                <w:i/>
                <w:iCs/>
              </w:rPr>
            </w:pPr>
            <w:r w:rsidRPr="0004484E">
              <w:rPr>
                <w:i/>
                <w:iCs/>
              </w:rPr>
              <w:t>Sector Implementation Plan</w:t>
            </w:r>
          </w:p>
        </w:tc>
      </w:tr>
      <w:tr w:rsidR="00C873C4" w14:paraId="6C5BB524" w14:textId="77777777" w:rsidTr="00D42AA7">
        <w:tc>
          <w:tcPr>
            <w:tcW w:w="1548" w:type="dxa"/>
            <w:shd w:val="clear" w:color="auto" w:fill="auto"/>
          </w:tcPr>
          <w:p w14:paraId="4C20EB4B" w14:textId="77777777" w:rsidR="00C873C4" w:rsidRPr="0004484E" w:rsidRDefault="00C873C4" w:rsidP="00D42AA7">
            <w:pPr>
              <w:pStyle w:val="Table"/>
              <w:rPr>
                <w:i/>
                <w:iCs/>
              </w:rPr>
            </w:pPr>
            <w:r w:rsidRPr="0004484E">
              <w:rPr>
                <w:i/>
                <w:iCs/>
              </w:rPr>
              <w:t>VAT</w:t>
            </w:r>
          </w:p>
        </w:tc>
        <w:tc>
          <w:tcPr>
            <w:tcW w:w="7200" w:type="dxa"/>
            <w:shd w:val="clear" w:color="auto" w:fill="auto"/>
          </w:tcPr>
          <w:p w14:paraId="25EF6753" w14:textId="77777777" w:rsidR="00C873C4" w:rsidRPr="0004484E" w:rsidRDefault="00C873C4" w:rsidP="00D42AA7">
            <w:pPr>
              <w:pStyle w:val="Table"/>
              <w:rPr>
                <w:i/>
                <w:iCs/>
              </w:rPr>
            </w:pPr>
            <w:r w:rsidRPr="0004484E">
              <w:rPr>
                <w:i/>
                <w:iCs/>
              </w:rPr>
              <w:t>Value Added Tax</w:t>
            </w:r>
          </w:p>
        </w:tc>
      </w:tr>
      <w:tr w:rsidR="00C873C4" w14:paraId="3550D4F8" w14:textId="77777777" w:rsidTr="00D42AA7">
        <w:tc>
          <w:tcPr>
            <w:tcW w:w="1548" w:type="dxa"/>
            <w:shd w:val="clear" w:color="auto" w:fill="auto"/>
          </w:tcPr>
          <w:p w14:paraId="154105B1" w14:textId="77777777" w:rsidR="00C873C4" w:rsidRPr="0004484E" w:rsidRDefault="00C873C4" w:rsidP="00D42AA7">
            <w:pPr>
              <w:pStyle w:val="Table"/>
              <w:rPr>
                <w:i/>
                <w:iCs/>
              </w:rPr>
            </w:pPr>
            <w:r w:rsidRPr="0004484E">
              <w:rPr>
                <w:i/>
                <w:iCs/>
              </w:rPr>
              <w:t>WEO</w:t>
            </w:r>
          </w:p>
        </w:tc>
        <w:tc>
          <w:tcPr>
            <w:tcW w:w="7200" w:type="dxa"/>
            <w:shd w:val="clear" w:color="auto" w:fill="auto"/>
          </w:tcPr>
          <w:p w14:paraId="7A840215" w14:textId="77777777" w:rsidR="00C873C4" w:rsidRPr="0004484E" w:rsidRDefault="00C873C4" w:rsidP="00D42AA7">
            <w:pPr>
              <w:pStyle w:val="Table"/>
              <w:rPr>
                <w:i/>
                <w:iCs/>
              </w:rPr>
            </w:pPr>
            <w:r w:rsidRPr="0004484E">
              <w:rPr>
                <w:i/>
                <w:iCs/>
              </w:rPr>
              <w:t>World Economic Outlook</w:t>
            </w:r>
          </w:p>
        </w:tc>
      </w:tr>
      <w:tr w:rsidR="00C873C4" w14:paraId="0682694B" w14:textId="77777777" w:rsidTr="00D42AA7">
        <w:tc>
          <w:tcPr>
            <w:tcW w:w="1548" w:type="dxa"/>
            <w:shd w:val="clear" w:color="auto" w:fill="auto"/>
          </w:tcPr>
          <w:p w14:paraId="7906F2F3" w14:textId="77777777" w:rsidR="00C873C4" w:rsidRPr="0004484E" w:rsidRDefault="00C873C4" w:rsidP="00D42AA7">
            <w:pPr>
              <w:pStyle w:val="Table"/>
              <w:rPr>
                <w:i/>
                <w:iCs/>
              </w:rPr>
            </w:pPr>
            <w:r w:rsidRPr="0004484E">
              <w:rPr>
                <w:i/>
                <w:iCs/>
              </w:rPr>
              <w:t>SIECOM</w:t>
            </w:r>
          </w:p>
        </w:tc>
        <w:tc>
          <w:tcPr>
            <w:tcW w:w="7200" w:type="dxa"/>
            <w:shd w:val="clear" w:color="auto" w:fill="auto"/>
          </w:tcPr>
          <w:p w14:paraId="1AA351B6" w14:textId="77777777" w:rsidR="00C873C4" w:rsidRPr="0004484E" w:rsidRDefault="00C873C4" w:rsidP="00D42AA7">
            <w:pPr>
              <w:pStyle w:val="Table"/>
              <w:rPr>
                <w:i/>
                <w:iCs/>
              </w:rPr>
            </w:pPr>
            <w:r w:rsidRPr="0004484E">
              <w:rPr>
                <w:i/>
                <w:iCs/>
              </w:rPr>
              <w:t>State Independent Electoral Commission</w:t>
            </w:r>
          </w:p>
        </w:tc>
      </w:tr>
      <w:tr w:rsidR="00C873C4" w14:paraId="7CE343DD" w14:textId="77777777" w:rsidTr="00D42AA7">
        <w:tc>
          <w:tcPr>
            <w:tcW w:w="1548" w:type="dxa"/>
            <w:shd w:val="clear" w:color="auto" w:fill="auto"/>
          </w:tcPr>
          <w:p w14:paraId="540E223C" w14:textId="77777777" w:rsidR="00C873C4" w:rsidRPr="0004484E" w:rsidRDefault="00C873C4" w:rsidP="00D42AA7">
            <w:pPr>
              <w:pStyle w:val="Table"/>
              <w:rPr>
                <w:i/>
                <w:iCs/>
              </w:rPr>
            </w:pPr>
            <w:r w:rsidRPr="0004484E">
              <w:rPr>
                <w:i/>
                <w:iCs/>
              </w:rPr>
              <w:t>CSC</w:t>
            </w:r>
          </w:p>
        </w:tc>
        <w:tc>
          <w:tcPr>
            <w:tcW w:w="7200" w:type="dxa"/>
            <w:shd w:val="clear" w:color="auto" w:fill="auto"/>
          </w:tcPr>
          <w:p w14:paraId="3D443648" w14:textId="77777777" w:rsidR="00C873C4" w:rsidRPr="0004484E" w:rsidRDefault="00C873C4" w:rsidP="00D42AA7">
            <w:pPr>
              <w:pStyle w:val="Table"/>
              <w:rPr>
                <w:i/>
                <w:iCs/>
              </w:rPr>
            </w:pPr>
            <w:r w:rsidRPr="0004484E">
              <w:rPr>
                <w:i/>
                <w:iCs/>
              </w:rPr>
              <w:t>Civil Service Commission</w:t>
            </w:r>
          </w:p>
        </w:tc>
      </w:tr>
      <w:tr w:rsidR="00C873C4" w14:paraId="7DD07284" w14:textId="77777777" w:rsidTr="00D42AA7">
        <w:tc>
          <w:tcPr>
            <w:tcW w:w="1548" w:type="dxa"/>
            <w:shd w:val="clear" w:color="auto" w:fill="auto"/>
          </w:tcPr>
          <w:p w14:paraId="35AF8214" w14:textId="77777777" w:rsidR="00C873C4" w:rsidRPr="0004484E" w:rsidRDefault="00C873C4" w:rsidP="00D42AA7">
            <w:pPr>
              <w:pStyle w:val="Table"/>
              <w:rPr>
                <w:i/>
                <w:iCs/>
              </w:rPr>
            </w:pPr>
            <w:r w:rsidRPr="0004484E">
              <w:rPr>
                <w:i/>
                <w:iCs/>
              </w:rPr>
              <w:t>SWIFT</w:t>
            </w:r>
          </w:p>
        </w:tc>
        <w:tc>
          <w:tcPr>
            <w:tcW w:w="7200" w:type="dxa"/>
            <w:shd w:val="clear" w:color="auto" w:fill="auto"/>
          </w:tcPr>
          <w:p w14:paraId="291DF86F" w14:textId="77777777" w:rsidR="00C873C4" w:rsidRPr="0004484E" w:rsidRDefault="00C873C4" w:rsidP="00D42AA7">
            <w:pPr>
              <w:pStyle w:val="Table"/>
              <w:rPr>
                <w:i/>
                <w:iCs/>
              </w:rPr>
            </w:pPr>
            <w:r w:rsidRPr="0004484E">
              <w:rPr>
                <w:i/>
                <w:iCs/>
              </w:rPr>
              <w:t>Society for Worldwide International Financial Telecommunications</w:t>
            </w:r>
          </w:p>
        </w:tc>
      </w:tr>
      <w:tr w:rsidR="00C873C4" w14:paraId="4030FF86" w14:textId="77777777" w:rsidTr="00D42AA7">
        <w:tc>
          <w:tcPr>
            <w:tcW w:w="1548" w:type="dxa"/>
            <w:shd w:val="clear" w:color="auto" w:fill="auto"/>
          </w:tcPr>
          <w:p w14:paraId="03865A3B" w14:textId="477D4672" w:rsidR="00C873C4" w:rsidRPr="0004484E" w:rsidRDefault="00C873C4" w:rsidP="00D42AA7">
            <w:pPr>
              <w:pStyle w:val="Table"/>
              <w:rPr>
                <w:i/>
                <w:iCs/>
              </w:rPr>
            </w:pPr>
            <w:r w:rsidRPr="0004484E">
              <w:rPr>
                <w:rFonts w:asciiTheme="minorHAnsi" w:eastAsiaTheme="minorHAnsi" w:hAnsiTheme="minorHAnsi" w:cstheme="minorBidi"/>
                <w:i/>
                <w:iCs/>
                <w:sz w:val="22"/>
                <w:szCs w:val="22"/>
                <w:lang w:val="en-US" w:eastAsia="en-US"/>
              </w:rPr>
              <w:t>AGO</w:t>
            </w:r>
          </w:p>
        </w:tc>
        <w:tc>
          <w:tcPr>
            <w:tcW w:w="7200" w:type="dxa"/>
            <w:shd w:val="clear" w:color="auto" w:fill="auto"/>
          </w:tcPr>
          <w:p w14:paraId="54404201" w14:textId="1DD09ADE" w:rsidR="00C873C4" w:rsidRPr="0004484E" w:rsidRDefault="00C873C4" w:rsidP="00D42AA7">
            <w:pPr>
              <w:pStyle w:val="Table"/>
              <w:rPr>
                <w:i/>
                <w:iCs/>
              </w:rPr>
            </w:pPr>
            <w:r w:rsidRPr="0004484E">
              <w:rPr>
                <w:rFonts w:asciiTheme="minorHAnsi" w:eastAsiaTheme="minorHAnsi" w:hAnsiTheme="minorHAnsi" w:cstheme="minorBidi"/>
                <w:i/>
                <w:iCs/>
                <w:sz w:val="22"/>
                <w:szCs w:val="22"/>
                <w:lang w:val="en-US" w:eastAsia="en-US"/>
              </w:rPr>
              <w:t>Angola</w:t>
            </w:r>
          </w:p>
        </w:tc>
      </w:tr>
      <w:tr w:rsidR="00C873C4" w14:paraId="1A2655A8" w14:textId="77777777" w:rsidTr="00D42AA7">
        <w:tc>
          <w:tcPr>
            <w:tcW w:w="1548" w:type="dxa"/>
            <w:shd w:val="clear" w:color="auto" w:fill="auto"/>
          </w:tcPr>
          <w:p w14:paraId="6DA0FD02" w14:textId="10E25C96" w:rsidR="00C873C4" w:rsidRPr="0004484E" w:rsidRDefault="00E302AB" w:rsidP="00D42AA7">
            <w:pPr>
              <w:pStyle w:val="Table"/>
              <w:rPr>
                <w:i/>
                <w:iCs/>
              </w:rPr>
            </w:pPr>
            <w:r w:rsidRPr="0004484E">
              <w:rPr>
                <w:i/>
                <w:iCs/>
              </w:rPr>
              <w:t>NGN</w:t>
            </w:r>
          </w:p>
        </w:tc>
        <w:tc>
          <w:tcPr>
            <w:tcW w:w="7200" w:type="dxa"/>
            <w:shd w:val="clear" w:color="auto" w:fill="auto"/>
          </w:tcPr>
          <w:p w14:paraId="54173A59" w14:textId="1D53ADE3" w:rsidR="00C873C4" w:rsidRPr="0004484E" w:rsidRDefault="00E302AB" w:rsidP="00D42AA7">
            <w:pPr>
              <w:pStyle w:val="Table"/>
              <w:rPr>
                <w:i/>
                <w:iCs/>
              </w:rPr>
            </w:pPr>
            <w:r w:rsidRPr="0004484E">
              <w:rPr>
                <w:i/>
                <w:iCs/>
              </w:rPr>
              <w:t>Nigeria</w:t>
            </w:r>
          </w:p>
        </w:tc>
      </w:tr>
      <w:tr w:rsidR="00673630" w14:paraId="20491D14" w14:textId="77777777" w:rsidTr="00D42AA7">
        <w:tc>
          <w:tcPr>
            <w:tcW w:w="1548" w:type="dxa"/>
            <w:shd w:val="clear" w:color="auto" w:fill="auto"/>
          </w:tcPr>
          <w:p w14:paraId="758B031B" w14:textId="30F3821C" w:rsidR="00673630" w:rsidRPr="0004484E" w:rsidRDefault="00673630" w:rsidP="00D42AA7">
            <w:pPr>
              <w:pStyle w:val="Table"/>
              <w:rPr>
                <w:i/>
                <w:iCs/>
              </w:rPr>
            </w:pPr>
            <w:r>
              <w:rPr>
                <w:i/>
                <w:iCs/>
              </w:rPr>
              <w:t>NUPRC</w:t>
            </w:r>
          </w:p>
        </w:tc>
        <w:tc>
          <w:tcPr>
            <w:tcW w:w="7200" w:type="dxa"/>
            <w:shd w:val="clear" w:color="auto" w:fill="auto"/>
          </w:tcPr>
          <w:p w14:paraId="71032255" w14:textId="60E07D61" w:rsidR="00673630" w:rsidRPr="0004484E" w:rsidRDefault="00673630" w:rsidP="00D42AA7">
            <w:pPr>
              <w:pStyle w:val="Table"/>
              <w:rPr>
                <w:i/>
                <w:iCs/>
              </w:rPr>
            </w:pPr>
            <w:r w:rsidRPr="00673630">
              <w:rPr>
                <w:i/>
                <w:iCs/>
              </w:rPr>
              <w:t>Nigerian Upstream Petroleum Regulatory Commission</w:t>
            </w:r>
          </w:p>
        </w:tc>
      </w:tr>
      <w:tr w:rsidR="00FC0568" w14:paraId="5864E1C8" w14:textId="77777777" w:rsidTr="00D42AA7">
        <w:tc>
          <w:tcPr>
            <w:tcW w:w="1548" w:type="dxa"/>
            <w:shd w:val="clear" w:color="auto" w:fill="auto"/>
          </w:tcPr>
          <w:p w14:paraId="329B3376" w14:textId="55805893" w:rsidR="00FC0568" w:rsidRDefault="00FC0568" w:rsidP="00D42AA7">
            <w:pPr>
              <w:pStyle w:val="Table"/>
              <w:rPr>
                <w:i/>
                <w:iCs/>
              </w:rPr>
            </w:pPr>
            <w:r>
              <w:rPr>
                <w:i/>
                <w:iCs/>
              </w:rPr>
              <w:t>PMS</w:t>
            </w:r>
          </w:p>
        </w:tc>
        <w:tc>
          <w:tcPr>
            <w:tcW w:w="7200" w:type="dxa"/>
            <w:shd w:val="clear" w:color="auto" w:fill="auto"/>
          </w:tcPr>
          <w:p w14:paraId="0711FEB4" w14:textId="7D9817F7" w:rsidR="00FC0568" w:rsidRPr="00673630" w:rsidRDefault="00FC0568" w:rsidP="00D42AA7">
            <w:pPr>
              <w:pStyle w:val="Table"/>
              <w:rPr>
                <w:i/>
                <w:iCs/>
              </w:rPr>
            </w:pPr>
            <w:r>
              <w:rPr>
                <w:i/>
                <w:iCs/>
              </w:rPr>
              <w:t>Premium Motor Spirit</w:t>
            </w:r>
          </w:p>
        </w:tc>
      </w:tr>
    </w:tbl>
    <w:p w14:paraId="70C444F0" w14:textId="77777777" w:rsidR="00C96874" w:rsidRDefault="00C96874" w:rsidP="006D1175">
      <w:pPr>
        <w:pStyle w:val="Leader"/>
        <w:jc w:val="left"/>
      </w:pPr>
    </w:p>
    <w:p w14:paraId="34959344" w14:textId="77777777" w:rsidR="00C96874" w:rsidRDefault="00C96874" w:rsidP="00C96874">
      <w:pPr>
        <w:pStyle w:val="Leader"/>
        <w:sectPr w:rsidR="00C96874" w:rsidSect="004F57E5">
          <w:headerReference w:type="even" r:id="rId13"/>
          <w:headerReference w:type="default" r:id="rId14"/>
          <w:footerReference w:type="default" r:id="rId15"/>
          <w:headerReference w:type="first" r:id="rId16"/>
          <w:pgSz w:w="11906" w:h="16838"/>
          <w:pgMar w:top="1440" w:right="1800" w:bottom="1440" w:left="1800" w:header="708" w:footer="708" w:gutter="0"/>
          <w:pgNumType w:fmt="lowerRoman"/>
          <w:cols w:space="708"/>
          <w:docGrid w:linePitch="360"/>
        </w:sectPr>
      </w:pPr>
    </w:p>
    <w:p w14:paraId="693F56B7" w14:textId="77777777" w:rsidR="00C96874" w:rsidRDefault="00C96874" w:rsidP="00C96874">
      <w:pPr>
        <w:pStyle w:val="Heading1"/>
      </w:pPr>
      <w:bookmarkStart w:id="0" w:name="_Toc340045242"/>
      <w:bookmarkStart w:id="1" w:name="_Toc340053628"/>
      <w:bookmarkStart w:id="2" w:name="_Toc14448421"/>
      <w:bookmarkStart w:id="3" w:name="_Ref105496750"/>
      <w:bookmarkStart w:id="4" w:name="_Toc106568599"/>
      <w:bookmarkStart w:id="5" w:name="_Toc143179766"/>
      <w:bookmarkStart w:id="6" w:name="_Hlk44871502"/>
      <w:r>
        <w:lastRenderedPageBreak/>
        <w:t>Introduction and Background</w:t>
      </w:r>
      <w:bookmarkEnd w:id="0"/>
      <w:bookmarkEnd w:id="1"/>
      <w:bookmarkEnd w:id="2"/>
      <w:bookmarkEnd w:id="3"/>
      <w:bookmarkEnd w:id="4"/>
      <w:bookmarkEnd w:id="5"/>
    </w:p>
    <w:p w14:paraId="3DEEA178" w14:textId="77777777" w:rsidR="00C96874" w:rsidRDefault="00C96874" w:rsidP="00C96874">
      <w:pPr>
        <w:pStyle w:val="Heading2"/>
      </w:pPr>
      <w:bookmarkStart w:id="7" w:name="_Toc340045243"/>
      <w:bookmarkStart w:id="8" w:name="_Toc340053629"/>
      <w:bookmarkStart w:id="9" w:name="_Toc14448422"/>
      <w:bookmarkStart w:id="10" w:name="_Toc106568600"/>
      <w:bookmarkStart w:id="11" w:name="_Toc143179767"/>
      <w:r>
        <w:t>Introduction</w:t>
      </w:r>
      <w:bookmarkEnd w:id="7"/>
      <w:bookmarkEnd w:id="8"/>
      <w:bookmarkEnd w:id="9"/>
      <w:bookmarkEnd w:id="10"/>
      <w:bookmarkEnd w:id="11"/>
    </w:p>
    <w:p w14:paraId="06B53D28" w14:textId="7057BB20" w:rsidR="00C96874" w:rsidRDefault="00C96874" w:rsidP="003B7FCB">
      <w:pPr>
        <w:pStyle w:val="NumberedPara"/>
        <w:tabs>
          <w:tab w:val="clear" w:pos="2127"/>
        </w:tabs>
        <w:ind w:left="567"/>
      </w:pPr>
      <w:bookmarkStart w:id="12" w:name="_Hlk44871654"/>
      <w:r w:rsidRPr="0030297E">
        <w:t xml:space="preserve">This Medium-Term Expenditure Framework (MTEF) provides a tool for multi-year fiscal planning and budget formulation process aimed at enabling the Kaduna State </w:t>
      </w:r>
      <w:r w:rsidRPr="00167963">
        <w:t>Government</w:t>
      </w:r>
      <w:r w:rsidRPr="0030297E">
        <w:t xml:space="preserve"> to set fiscal targets and allocate resources to strategic priorities. Key elements of the MTEF are the Economic and Fiscal Update (EFU), Fiscal Strategy Paper (FSP)</w:t>
      </w:r>
      <w:r w:rsidR="00CD6A12">
        <w:t>,</w:t>
      </w:r>
      <w:r w:rsidRPr="0030297E">
        <w:t xml:space="preserve"> and Budget Policy Statement (BPS)</w:t>
      </w:r>
      <w:r>
        <w:t xml:space="preserve">.  </w:t>
      </w:r>
    </w:p>
    <w:p w14:paraId="71F7E2B9" w14:textId="432E4827" w:rsidR="00C96874" w:rsidRDefault="00C96874" w:rsidP="003B7FCB">
      <w:pPr>
        <w:pStyle w:val="NumberedPara"/>
        <w:ind w:left="567"/>
      </w:pPr>
      <w:r>
        <w:t>The EFU provides economic and fiscal analyses</w:t>
      </w:r>
      <w:r w:rsidR="001479CC">
        <w:t>, forming</w:t>
      </w:r>
      <w:r>
        <w:t xml:space="preserve"> the basis for the budget planning process. It is aimed primarily at guiding policy and lawmakers in the State Government. The EFU also provides an assessment of budget performance (both historical and current) and identifies significant </w:t>
      </w:r>
      <w:r w:rsidR="00E55696">
        <w:t>G</w:t>
      </w:r>
      <w:r>
        <w:t xml:space="preserve">lobal, </w:t>
      </w:r>
      <w:r w:rsidR="00E55696">
        <w:t>N</w:t>
      </w:r>
      <w:r w:rsidR="00C117E3">
        <w:t>ational,</w:t>
      </w:r>
      <w:r>
        <w:t xml:space="preserve"> and </w:t>
      </w:r>
      <w:r w:rsidR="00E55696">
        <w:t>S</w:t>
      </w:r>
      <w:r>
        <w:t>tate level factors affecting implementation.</w:t>
      </w:r>
    </w:p>
    <w:p w14:paraId="4DC1C014" w14:textId="77777777" w:rsidR="00C96874" w:rsidRDefault="00C96874" w:rsidP="003B7FCB">
      <w:pPr>
        <w:pStyle w:val="NumberedPara"/>
        <w:ind w:left="567"/>
      </w:pPr>
      <w:r>
        <w:t>The FSP determines the resources available to fund Government projects and programs from a fiscally sustainable perspective.</w:t>
      </w:r>
    </w:p>
    <w:p w14:paraId="1CF29643" w14:textId="109F3544" w:rsidR="00C96874" w:rsidRDefault="00C96874" w:rsidP="003B7FCB">
      <w:pPr>
        <w:pStyle w:val="NumberedPara"/>
        <w:ind w:left="567"/>
      </w:pPr>
      <w:r>
        <w:t>The BPS states the overarching policy goals that will guide the Government's budget decisions and how the budgets accord with the government</w:t>
      </w:r>
      <w:r w:rsidR="00E55696">
        <w:t>’s</w:t>
      </w:r>
      <w:r>
        <w:t xml:space="preserve"> </w:t>
      </w:r>
      <w:r w:rsidR="00E55696">
        <w:t>short-term</w:t>
      </w:r>
      <w:r>
        <w:t xml:space="preserve"> intentions. It also states any changes to the government</w:t>
      </w:r>
      <w:r w:rsidR="00E55696">
        <w:t>’s</w:t>
      </w:r>
      <w:r>
        <w:t xml:space="preserve"> long and short terms fiscal objectives and assesses how changes in the long-term fiscal objectives and </w:t>
      </w:r>
      <w:r w:rsidR="00C117E3">
        <w:t>short-term</w:t>
      </w:r>
      <w:r>
        <w:t xml:space="preserve"> fiscal intentions situate with the principles of responsible fiscal management.</w:t>
      </w:r>
    </w:p>
    <w:p w14:paraId="217B3766" w14:textId="77777777" w:rsidR="00C96874" w:rsidRDefault="00C96874" w:rsidP="00C96874">
      <w:pPr>
        <w:pStyle w:val="Heading3"/>
        <w:jc w:val="both"/>
      </w:pPr>
      <w:bookmarkStart w:id="13" w:name="_Toc106568601"/>
      <w:bookmarkStart w:id="14" w:name="_Toc143179768"/>
      <w:bookmarkStart w:id="15" w:name="_Toc340053630"/>
      <w:bookmarkEnd w:id="12"/>
      <w:r>
        <w:t>Historical Preparation of MTEF</w:t>
      </w:r>
      <w:bookmarkEnd w:id="13"/>
      <w:bookmarkEnd w:id="14"/>
      <w:r>
        <w:t xml:space="preserve"> </w:t>
      </w:r>
    </w:p>
    <w:p w14:paraId="0F08FA3B" w14:textId="0994E5BA" w:rsidR="00C96874" w:rsidRDefault="00C96874" w:rsidP="003B7FCB">
      <w:pPr>
        <w:pStyle w:val="NumberedPara"/>
        <w:tabs>
          <w:tab w:val="clear" w:pos="2127"/>
          <w:tab w:val="num" w:pos="1560"/>
        </w:tabs>
        <w:ind w:left="567"/>
      </w:pPr>
      <w:bookmarkStart w:id="16" w:name="_Hlk44872098"/>
      <w:r>
        <w:t>Kaduna State Government commenced preparation of the MTEF in 2014 – the first MTEF covered the period of 2016-2018.  The MTEF has been rolled forward each of the subsequent years including this document which covers the period 20</w:t>
      </w:r>
      <w:r w:rsidR="002F4E72">
        <w:t>2</w:t>
      </w:r>
      <w:r w:rsidR="00E01C3C">
        <w:t>4</w:t>
      </w:r>
      <w:r>
        <w:t>-202</w:t>
      </w:r>
      <w:r w:rsidR="00E01C3C">
        <w:t>6</w:t>
      </w:r>
      <w:r>
        <w:t xml:space="preserve">. </w:t>
      </w:r>
    </w:p>
    <w:p w14:paraId="6674696C" w14:textId="3E46FDE0" w:rsidR="00C96874" w:rsidRDefault="00C96874" w:rsidP="003B7FCB">
      <w:pPr>
        <w:pStyle w:val="NumberedPara"/>
        <w:tabs>
          <w:tab w:val="clear" w:pos="2127"/>
          <w:tab w:val="num" w:pos="1843"/>
        </w:tabs>
        <w:ind w:left="567"/>
      </w:pPr>
      <w:r>
        <w:t xml:space="preserve">The graph below shows the aggregate revenue estimates as per the MTEF documents, the revenue estimate in the annual budget, and the actual revenue.  </w:t>
      </w:r>
      <w:r w:rsidR="00CD6A12">
        <w:t>Each</w:t>
      </w:r>
      <w:r>
        <w:t xml:space="preserve"> </w:t>
      </w:r>
      <w:r w:rsidR="002F4E72">
        <w:t>year,</w:t>
      </w:r>
      <w:r>
        <w:t xml:space="preserve"> the MTEF provided a more realistic estimate of revenues than the annual budget.  </w:t>
      </w:r>
    </w:p>
    <w:p w14:paraId="1AFD32B9" w14:textId="01EF01AA" w:rsidR="00C96874" w:rsidRDefault="00C96874" w:rsidP="00C96874">
      <w:pPr>
        <w:pStyle w:val="Caption"/>
      </w:pPr>
      <w:bookmarkStart w:id="17" w:name="_Ref107392339"/>
      <w:bookmarkStart w:id="18" w:name="_Toc107777887"/>
      <w:bookmarkStart w:id="19" w:name="_Toc143179905"/>
      <w:bookmarkEnd w:id="16"/>
      <w:r>
        <w:t xml:space="preserve">Figure </w:t>
      </w:r>
      <w:r>
        <w:fldChar w:fldCharType="begin"/>
      </w:r>
      <w:r>
        <w:instrText xml:space="preserve"> SEQ Figure \* ARABIC </w:instrText>
      </w:r>
      <w:r>
        <w:fldChar w:fldCharType="separate"/>
      </w:r>
      <w:r w:rsidR="005A0A9E">
        <w:rPr>
          <w:noProof/>
        </w:rPr>
        <w:t>1</w:t>
      </w:r>
      <w:r>
        <w:rPr>
          <w:noProof/>
        </w:rPr>
        <w:fldChar w:fldCharType="end"/>
      </w:r>
      <w:bookmarkEnd w:id="17"/>
      <w:r w:rsidR="009B617E">
        <w:rPr>
          <w:noProof/>
        </w:rPr>
        <w:t>:</w:t>
      </w:r>
      <w:r>
        <w:t xml:space="preserve"> Budget Accuracy 2016-20</w:t>
      </w:r>
      <w:r w:rsidR="007B4A3A">
        <w:t>2</w:t>
      </w:r>
      <w:bookmarkEnd w:id="18"/>
      <w:r w:rsidR="0004484E">
        <w:t>2</w:t>
      </w:r>
      <w:bookmarkEnd w:id="19"/>
    </w:p>
    <w:p w14:paraId="7E8F988D" w14:textId="0D3672C1" w:rsidR="00C96874" w:rsidRDefault="002B70EB" w:rsidP="0004484E">
      <w:pPr>
        <w:jc w:val="center"/>
      </w:pPr>
      <w:r w:rsidRPr="002B70EB">
        <w:rPr>
          <w:noProof/>
          <w:lang w:val="en-US" w:eastAsia="en-US"/>
        </w:rPr>
        <w:drawing>
          <wp:inline distT="0" distB="0" distL="0" distR="0" wp14:anchorId="5BC1E1F5" wp14:editId="0B9C06F8">
            <wp:extent cx="6121736" cy="3065930"/>
            <wp:effectExtent l="0" t="0" r="0" b="1270"/>
            <wp:docPr id="1412098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6243" cy="3088221"/>
                    </a:xfrm>
                    <a:prstGeom prst="rect">
                      <a:avLst/>
                    </a:prstGeom>
                    <a:noFill/>
                    <a:ln>
                      <a:noFill/>
                    </a:ln>
                  </pic:spPr>
                </pic:pic>
              </a:graphicData>
            </a:graphic>
          </wp:inline>
        </w:drawing>
      </w:r>
    </w:p>
    <w:p w14:paraId="65DC6603" w14:textId="54551DFE" w:rsidR="00C96874" w:rsidRPr="006253ED" w:rsidRDefault="006253ED" w:rsidP="007B4A3A">
      <w:pPr>
        <w:rPr>
          <w:i/>
          <w:sz w:val="16"/>
          <w:szCs w:val="16"/>
        </w:rPr>
      </w:pPr>
      <w:r w:rsidRPr="006253ED">
        <w:rPr>
          <w:i/>
          <w:sz w:val="16"/>
          <w:szCs w:val="16"/>
        </w:rPr>
        <w:t>Source:</w:t>
      </w:r>
      <w:r w:rsidR="00FD18A6">
        <w:rPr>
          <w:i/>
          <w:sz w:val="16"/>
          <w:szCs w:val="16"/>
        </w:rPr>
        <w:t xml:space="preserve"> State</w:t>
      </w:r>
      <w:r w:rsidRPr="006253ED">
        <w:rPr>
          <w:i/>
          <w:sz w:val="16"/>
          <w:szCs w:val="16"/>
        </w:rPr>
        <w:t xml:space="preserve"> </w:t>
      </w:r>
      <w:r w:rsidR="007B4A3A" w:rsidRPr="006253ED">
        <w:rPr>
          <w:i/>
          <w:sz w:val="16"/>
          <w:szCs w:val="16"/>
        </w:rPr>
        <w:t>M</w:t>
      </w:r>
      <w:r>
        <w:rPr>
          <w:i/>
          <w:sz w:val="16"/>
          <w:szCs w:val="16"/>
        </w:rPr>
        <w:t xml:space="preserve">inistry </w:t>
      </w:r>
      <w:r w:rsidR="007B4A3A" w:rsidRPr="006253ED">
        <w:rPr>
          <w:i/>
          <w:sz w:val="16"/>
          <w:szCs w:val="16"/>
        </w:rPr>
        <w:t>o</w:t>
      </w:r>
      <w:r>
        <w:rPr>
          <w:i/>
          <w:sz w:val="16"/>
          <w:szCs w:val="16"/>
        </w:rPr>
        <w:t xml:space="preserve">f </w:t>
      </w:r>
      <w:r w:rsidR="007B4A3A" w:rsidRPr="006253ED">
        <w:rPr>
          <w:i/>
          <w:sz w:val="16"/>
          <w:szCs w:val="16"/>
        </w:rPr>
        <w:t>F</w:t>
      </w:r>
      <w:r>
        <w:rPr>
          <w:i/>
          <w:sz w:val="16"/>
          <w:szCs w:val="16"/>
        </w:rPr>
        <w:t>inance</w:t>
      </w:r>
      <w:r w:rsidR="00FD18A6">
        <w:rPr>
          <w:i/>
          <w:sz w:val="16"/>
          <w:szCs w:val="16"/>
        </w:rPr>
        <w:t xml:space="preserve"> (Financial Statements)</w:t>
      </w:r>
    </w:p>
    <w:p w14:paraId="7EAB32F0" w14:textId="77777777" w:rsidR="00FA047F" w:rsidRPr="00FA047F" w:rsidRDefault="00FA047F" w:rsidP="00FA047F">
      <w:pPr>
        <w:spacing w:before="0" w:after="0"/>
        <w:contextualSpacing/>
        <w:jc w:val="both"/>
        <w:rPr>
          <w:rFonts w:ascii="Arial Narrow" w:eastAsiaTheme="minorHAnsi" w:hAnsi="Arial Narrow" w:cstheme="minorBidi"/>
          <w:b/>
          <w:bCs/>
          <w:sz w:val="18"/>
          <w:szCs w:val="18"/>
          <w:lang w:val="en-US" w:eastAsia="en-US"/>
        </w:rPr>
      </w:pPr>
      <w:r w:rsidRPr="00FA047F">
        <w:rPr>
          <w:rFonts w:ascii="Arial Narrow" w:eastAsiaTheme="minorHAnsi" w:hAnsi="Arial Narrow" w:cstheme="minorBidi"/>
          <w:b/>
          <w:bCs/>
          <w:sz w:val="18"/>
          <w:szCs w:val="18"/>
          <w:lang w:val="en-US" w:eastAsia="en-US"/>
        </w:rPr>
        <w:t>Note:</w:t>
      </w:r>
    </w:p>
    <w:p w14:paraId="015895EA" w14:textId="16109A8F" w:rsidR="0056306C" w:rsidRPr="00C21A9D" w:rsidRDefault="00AD0664" w:rsidP="0001764D">
      <w:pPr>
        <w:jc w:val="both"/>
      </w:pPr>
      <w:r>
        <w:rPr>
          <w:rFonts w:ascii="Arial Narrow" w:eastAsiaTheme="minorHAnsi" w:hAnsi="Arial Narrow" w:cstheme="minorBidi"/>
          <w:b/>
          <w:bCs/>
          <w:sz w:val="18"/>
          <w:szCs w:val="18"/>
          <w:lang w:val="en-US" w:eastAsia="en-US"/>
        </w:rPr>
        <w:t xml:space="preserve">The </w:t>
      </w:r>
      <w:r w:rsidR="00FC0568">
        <w:rPr>
          <w:rFonts w:ascii="Arial Narrow" w:eastAsiaTheme="minorHAnsi" w:hAnsi="Arial Narrow" w:cstheme="minorBidi"/>
          <w:b/>
          <w:bCs/>
          <w:sz w:val="18"/>
          <w:szCs w:val="18"/>
          <w:lang w:val="en-US" w:eastAsia="en-US"/>
        </w:rPr>
        <w:t>comparison</w:t>
      </w:r>
      <w:r w:rsidR="0001764D">
        <w:rPr>
          <w:rFonts w:ascii="Arial Narrow" w:eastAsiaTheme="minorHAnsi" w:hAnsi="Arial Narrow" w:cstheme="minorBidi"/>
          <w:b/>
          <w:bCs/>
          <w:sz w:val="18"/>
          <w:szCs w:val="18"/>
          <w:lang w:val="en-US" w:eastAsia="en-US"/>
        </w:rPr>
        <w:t xml:space="preserve"> </w:t>
      </w:r>
      <w:r w:rsidR="006A0147">
        <w:rPr>
          <w:rFonts w:ascii="Arial Narrow" w:eastAsiaTheme="minorHAnsi" w:hAnsi="Arial Narrow" w:cstheme="minorBidi"/>
          <w:b/>
          <w:bCs/>
          <w:sz w:val="18"/>
          <w:szCs w:val="18"/>
          <w:lang w:val="en-US" w:eastAsia="en-US"/>
        </w:rPr>
        <w:t xml:space="preserve">is </w:t>
      </w:r>
      <w:r>
        <w:rPr>
          <w:rFonts w:ascii="Arial Narrow" w:eastAsiaTheme="minorHAnsi" w:hAnsi="Arial Narrow" w:cstheme="minorBidi"/>
          <w:b/>
          <w:bCs/>
          <w:sz w:val="18"/>
          <w:szCs w:val="18"/>
          <w:lang w:val="en-US" w:eastAsia="en-US"/>
        </w:rPr>
        <w:t xml:space="preserve">between </w:t>
      </w:r>
      <w:r w:rsidR="006A0147">
        <w:rPr>
          <w:rFonts w:ascii="Arial Narrow" w:eastAsiaTheme="minorHAnsi" w:hAnsi="Arial Narrow" w:cstheme="minorBidi"/>
          <w:b/>
          <w:bCs/>
          <w:sz w:val="18"/>
          <w:szCs w:val="18"/>
          <w:lang w:val="en-US" w:eastAsia="en-US"/>
        </w:rPr>
        <w:t xml:space="preserve">the initial Approved Budget and Actual Budget Performance </w:t>
      </w:r>
      <w:r w:rsidR="006B4882">
        <w:rPr>
          <w:rFonts w:ascii="Arial Narrow" w:eastAsiaTheme="minorHAnsi" w:hAnsi="Arial Narrow" w:cstheme="minorBidi"/>
          <w:b/>
          <w:bCs/>
          <w:sz w:val="18"/>
          <w:szCs w:val="18"/>
          <w:lang w:val="en-US" w:eastAsia="en-US"/>
        </w:rPr>
        <w:t>as required by the MTEF guidelines.</w:t>
      </w:r>
    </w:p>
    <w:p w14:paraId="7B0434AC" w14:textId="6D034919" w:rsidR="00C96874" w:rsidRDefault="00E34B4C" w:rsidP="00E34B4C">
      <w:pPr>
        <w:pStyle w:val="Caption"/>
      </w:pPr>
      <w:bookmarkStart w:id="20" w:name="_Toc107777888"/>
      <w:bookmarkStart w:id="21" w:name="_Toc143179938"/>
      <w:r>
        <w:lastRenderedPageBreak/>
        <w:t xml:space="preserve">Table </w:t>
      </w:r>
      <w:r>
        <w:fldChar w:fldCharType="begin"/>
      </w:r>
      <w:r>
        <w:instrText xml:space="preserve"> SEQ Table \* ARABIC </w:instrText>
      </w:r>
      <w:r>
        <w:fldChar w:fldCharType="separate"/>
      </w:r>
      <w:r w:rsidR="00B76AD5">
        <w:rPr>
          <w:noProof/>
        </w:rPr>
        <w:t>1</w:t>
      </w:r>
      <w:r>
        <w:fldChar w:fldCharType="end"/>
      </w:r>
      <w:r w:rsidR="00C96874">
        <w:t>: MTEF</w:t>
      </w:r>
      <w:r w:rsidR="001E20AF">
        <w:t xml:space="preserve"> </w:t>
      </w:r>
      <w:r w:rsidR="00756E82">
        <w:t>Development</w:t>
      </w:r>
      <w:r w:rsidR="00C96874">
        <w:t xml:space="preserve"> Process</w:t>
      </w:r>
      <w:bookmarkEnd w:id="20"/>
      <w:bookmarkEnd w:id="21"/>
    </w:p>
    <w:tbl>
      <w:tblPr>
        <w:tblStyle w:val="TableGrid1"/>
        <w:tblW w:w="8784" w:type="dxa"/>
        <w:tblLayout w:type="fixed"/>
        <w:tblLook w:val="04A0" w:firstRow="1" w:lastRow="0" w:firstColumn="1" w:lastColumn="0" w:noHBand="0" w:noVBand="1"/>
      </w:tblPr>
      <w:tblGrid>
        <w:gridCol w:w="625"/>
        <w:gridCol w:w="180"/>
        <w:gridCol w:w="6420"/>
        <w:gridCol w:w="1559"/>
      </w:tblGrid>
      <w:tr w:rsidR="001E20AF" w:rsidRPr="004177BE" w14:paraId="2D575EF4" w14:textId="77777777" w:rsidTr="007F359B">
        <w:trPr>
          <w:tblHeader/>
        </w:trPr>
        <w:tc>
          <w:tcPr>
            <w:tcW w:w="805" w:type="dxa"/>
            <w:gridSpan w:val="2"/>
            <w:shd w:val="clear" w:color="auto" w:fill="00B0F0"/>
          </w:tcPr>
          <w:p w14:paraId="73344B7F" w14:textId="77777777" w:rsidR="001E20AF" w:rsidRPr="004177BE" w:rsidRDefault="001E20AF" w:rsidP="004177BE">
            <w:pPr>
              <w:spacing w:before="0" w:after="0"/>
              <w:rPr>
                <w:rFonts w:eastAsia="Calibri" w:cs="Tahoma"/>
                <w:b/>
                <w:bCs/>
                <w:szCs w:val="20"/>
              </w:rPr>
            </w:pPr>
            <w:r w:rsidRPr="004177BE">
              <w:rPr>
                <w:rFonts w:eastAsia="Calibri" w:cs="Tahoma"/>
                <w:b/>
                <w:bCs/>
                <w:szCs w:val="20"/>
              </w:rPr>
              <w:t>S/N</w:t>
            </w:r>
          </w:p>
        </w:tc>
        <w:tc>
          <w:tcPr>
            <w:tcW w:w="6420" w:type="dxa"/>
            <w:shd w:val="clear" w:color="auto" w:fill="00B0F0"/>
          </w:tcPr>
          <w:p w14:paraId="38414B9C" w14:textId="77777777" w:rsidR="001E20AF" w:rsidRPr="004177BE" w:rsidRDefault="001E20AF" w:rsidP="004177BE">
            <w:pPr>
              <w:spacing w:before="0" w:after="0"/>
              <w:jc w:val="center"/>
              <w:rPr>
                <w:rFonts w:eastAsia="Calibri" w:cs="Tahoma"/>
                <w:b/>
                <w:bCs/>
                <w:szCs w:val="20"/>
              </w:rPr>
            </w:pPr>
            <w:r w:rsidRPr="004177BE">
              <w:rPr>
                <w:rFonts w:eastAsia="Calibri" w:cs="Tahoma"/>
                <w:b/>
                <w:bCs/>
                <w:szCs w:val="20"/>
              </w:rPr>
              <w:t>Activities</w:t>
            </w:r>
          </w:p>
        </w:tc>
        <w:tc>
          <w:tcPr>
            <w:tcW w:w="1559" w:type="dxa"/>
            <w:shd w:val="clear" w:color="auto" w:fill="00B0F0"/>
          </w:tcPr>
          <w:p w14:paraId="3BFE7EE8" w14:textId="77777777" w:rsidR="001E20AF" w:rsidRPr="004177BE" w:rsidRDefault="001E20AF" w:rsidP="004177BE">
            <w:pPr>
              <w:spacing w:before="0" w:after="0"/>
              <w:rPr>
                <w:rFonts w:eastAsia="Calibri" w:cs="Tahoma"/>
                <w:b/>
                <w:bCs/>
                <w:szCs w:val="20"/>
              </w:rPr>
            </w:pPr>
            <w:r w:rsidRPr="004177BE">
              <w:rPr>
                <w:rFonts w:eastAsia="Calibri" w:cs="Tahoma"/>
                <w:b/>
                <w:bCs/>
                <w:szCs w:val="20"/>
              </w:rPr>
              <w:t>Timeline</w:t>
            </w:r>
          </w:p>
        </w:tc>
      </w:tr>
      <w:tr w:rsidR="001E20AF" w:rsidRPr="004177BE" w14:paraId="554A3933" w14:textId="77777777" w:rsidTr="007F359B">
        <w:tc>
          <w:tcPr>
            <w:tcW w:w="625" w:type="dxa"/>
          </w:tcPr>
          <w:p w14:paraId="0BE273DC" w14:textId="77777777" w:rsidR="001E20AF" w:rsidRPr="004177BE" w:rsidRDefault="001E20AF" w:rsidP="004177BE">
            <w:pPr>
              <w:spacing w:before="0" w:after="0"/>
              <w:rPr>
                <w:rFonts w:eastAsia="Calibri" w:cs="Tahoma"/>
                <w:szCs w:val="20"/>
              </w:rPr>
            </w:pPr>
            <w:r w:rsidRPr="004177BE">
              <w:rPr>
                <w:rFonts w:eastAsia="Calibri" w:cs="Tahoma"/>
                <w:szCs w:val="20"/>
              </w:rPr>
              <w:t>1</w:t>
            </w:r>
          </w:p>
        </w:tc>
        <w:tc>
          <w:tcPr>
            <w:tcW w:w="6600" w:type="dxa"/>
            <w:gridSpan w:val="2"/>
          </w:tcPr>
          <w:p w14:paraId="098381C3" w14:textId="417AA67A" w:rsidR="001E20AF" w:rsidRPr="004177BE" w:rsidRDefault="001E20AF" w:rsidP="004177BE">
            <w:pPr>
              <w:spacing w:before="0" w:after="0"/>
              <w:rPr>
                <w:rFonts w:eastAsia="Calibri" w:cs="Tahoma"/>
                <w:szCs w:val="20"/>
              </w:rPr>
            </w:pPr>
            <w:r w:rsidRPr="004177BE">
              <w:rPr>
                <w:rFonts w:eastAsia="Calibri" w:cs="Tahoma"/>
                <w:szCs w:val="20"/>
              </w:rPr>
              <w:t>Briefing meeting with Honourable Commissioner</w:t>
            </w:r>
            <w:r w:rsidR="00BC6518">
              <w:rPr>
                <w:rFonts w:eastAsia="Calibri" w:cs="Tahoma"/>
                <w:szCs w:val="20"/>
              </w:rPr>
              <w:t>, PBC,</w:t>
            </w:r>
            <w:r w:rsidRPr="004177BE">
              <w:rPr>
                <w:rFonts w:eastAsia="Calibri" w:cs="Tahoma"/>
                <w:szCs w:val="20"/>
              </w:rPr>
              <w:t xml:space="preserve"> for information and noting</w:t>
            </w:r>
          </w:p>
        </w:tc>
        <w:tc>
          <w:tcPr>
            <w:tcW w:w="1559" w:type="dxa"/>
            <w:vMerge w:val="restart"/>
          </w:tcPr>
          <w:p w14:paraId="1515CA38" w14:textId="77777777" w:rsidR="001E20AF" w:rsidRPr="004177BE" w:rsidRDefault="001E20AF" w:rsidP="00EC779A">
            <w:pPr>
              <w:spacing w:before="0" w:after="0"/>
              <w:jc w:val="center"/>
              <w:rPr>
                <w:rFonts w:eastAsia="Calibri" w:cs="Tahoma"/>
                <w:szCs w:val="20"/>
              </w:rPr>
            </w:pPr>
          </w:p>
          <w:p w14:paraId="7FFB788B" w14:textId="77777777" w:rsidR="001E20AF" w:rsidRPr="004177BE" w:rsidRDefault="001E20AF" w:rsidP="00EC779A">
            <w:pPr>
              <w:spacing w:before="0" w:after="0"/>
              <w:jc w:val="center"/>
              <w:rPr>
                <w:rFonts w:eastAsia="Calibri" w:cs="Tahoma"/>
                <w:szCs w:val="20"/>
              </w:rPr>
            </w:pPr>
          </w:p>
          <w:p w14:paraId="6D4C6128" w14:textId="62E772F1" w:rsidR="001E20AF" w:rsidRPr="004177BE" w:rsidRDefault="001E20AF" w:rsidP="00EC779A">
            <w:pPr>
              <w:spacing w:before="0" w:after="0"/>
              <w:jc w:val="center"/>
              <w:rPr>
                <w:rFonts w:eastAsia="Calibri" w:cs="Tahoma"/>
                <w:szCs w:val="20"/>
              </w:rPr>
            </w:pPr>
            <w:r w:rsidRPr="004177BE">
              <w:rPr>
                <w:rFonts w:eastAsia="Calibri" w:cs="Tahoma"/>
                <w:szCs w:val="20"/>
              </w:rPr>
              <w:t>April</w:t>
            </w:r>
          </w:p>
          <w:p w14:paraId="263834B1" w14:textId="77777777" w:rsidR="001E20AF" w:rsidRPr="004177BE" w:rsidRDefault="001E20AF" w:rsidP="00EC779A">
            <w:pPr>
              <w:spacing w:before="0" w:after="0"/>
              <w:jc w:val="center"/>
              <w:rPr>
                <w:rFonts w:eastAsia="Calibri" w:cs="Tahoma"/>
                <w:szCs w:val="20"/>
              </w:rPr>
            </w:pPr>
          </w:p>
        </w:tc>
      </w:tr>
      <w:tr w:rsidR="001E20AF" w:rsidRPr="004177BE" w14:paraId="52259837" w14:textId="77777777" w:rsidTr="007F359B">
        <w:tc>
          <w:tcPr>
            <w:tcW w:w="625" w:type="dxa"/>
          </w:tcPr>
          <w:p w14:paraId="1B813DA2" w14:textId="77777777" w:rsidR="001E20AF" w:rsidRPr="004177BE" w:rsidRDefault="001E20AF" w:rsidP="004177BE">
            <w:pPr>
              <w:spacing w:before="0" w:after="0"/>
              <w:rPr>
                <w:rFonts w:eastAsia="Calibri" w:cs="Tahoma"/>
                <w:szCs w:val="20"/>
              </w:rPr>
            </w:pPr>
            <w:r w:rsidRPr="004177BE">
              <w:rPr>
                <w:rFonts w:eastAsia="Calibri" w:cs="Tahoma"/>
                <w:szCs w:val="20"/>
              </w:rPr>
              <w:t>2</w:t>
            </w:r>
          </w:p>
        </w:tc>
        <w:tc>
          <w:tcPr>
            <w:tcW w:w="6600" w:type="dxa"/>
            <w:gridSpan w:val="2"/>
          </w:tcPr>
          <w:p w14:paraId="48263D1A" w14:textId="2D13187B" w:rsidR="001E20AF" w:rsidRPr="004177BE" w:rsidRDefault="001E20AF" w:rsidP="004177BE">
            <w:pPr>
              <w:spacing w:before="0" w:after="0"/>
              <w:rPr>
                <w:rFonts w:eastAsia="Calibri" w:cs="Tahoma"/>
                <w:szCs w:val="20"/>
              </w:rPr>
            </w:pPr>
            <w:r w:rsidRPr="004177BE">
              <w:rPr>
                <w:rFonts w:eastAsia="Calibri" w:cs="Tahoma"/>
                <w:szCs w:val="20"/>
              </w:rPr>
              <w:t xml:space="preserve">Planning </w:t>
            </w:r>
            <w:r w:rsidR="0004484E">
              <w:rPr>
                <w:rFonts w:eastAsia="Calibri" w:cs="Tahoma"/>
                <w:szCs w:val="20"/>
              </w:rPr>
              <w:t xml:space="preserve">a </w:t>
            </w:r>
            <w:r w:rsidRPr="004177BE">
              <w:rPr>
                <w:rFonts w:eastAsia="Calibri" w:cs="Tahoma"/>
                <w:szCs w:val="20"/>
              </w:rPr>
              <w:t xml:space="preserve">Meeting with </w:t>
            </w:r>
            <w:r w:rsidR="00CD6A12">
              <w:rPr>
                <w:rFonts w:eastAsia="Calibri" w:cs="Tahoma"/>
                <w:szCs w:val="20"/>
              </w:rPr>
              <w:t xml:space="preserve">the </w:t>
            </w:r>
            <w:r w:rsidRPr="004177BE">
              <w:rPr>
                <w:rFonts w:eastAsia="Calibri" w:cs="Tahoma"/>
                <w:szCs w:val="20"/>
              </w:rPr>
              <w:t>technical team and relevant MDAs to agree on the proposed framework</w:t>
            </w:r>
          </w:p>
        </w:tc>
        <w:tc>
          <w:tcPr>
            <w:tcW w:w="1559" w:type="dxa"/>
            <w:vMerge/>
          </w:tcPr>
          <w:p w14:paraId="7E02F2B2" w14:textId="77777777" w:rsidR="001E20AF" w:rsidRPr="004177BE" w:rsidRDefault="001E20AF" w:rsidP="00EC779A">
            <w:pPr>
              <w:spacing w:before="0" w:after="0"/>
              <w:jc w:val="center"/>
              <w:rPr>
                <w:rFonts w:eastAsia="Calibri" w:cs="Tahoma"/>
                <w:szCs w:val="20"/>
              </w:rPr>
            </w:pPr>
          </w:p>
        </w:tc>
      </w:tr>
      <w:tr w:rsidR="001E20AF" w:rsidRPr="004177BE" w14:paraId="661340C8" w14:textId="77777777" w:rsidTr="007F359B">
        <w:tc>
          <w:tcPr>
            <w:tcW w:w="625" w:type="dxa"/>
          </w:tcPr>
          <w:p w14:paraId="074D5212" w14:textId="77777777" w:rsidR="001E20AF" w:rsidRPr="004177BE" w:rsidRDefault="001E20AF" w:rsidP="004177BE">
            <w:pPr>
              <w:spacing w:before="0" w:after="0"/>
              <w:rPr>
                <w:rFonts w:eastAsia="Calibri" w:cs="Tahoma"/>
                <w:szCs w:val="20"/>
              </w:rPr>
            </w:pPr>
            <w:r w:rsidRPr="004177BE">
              <w:rPr>
                <w:rFonts w:eastAsia="Calibri" w:cs="Tahoma"/>
                <w:szCs w:val="20"/>
              </w:rPr>
              <w:t>3</w:t>
            </w:r>
          </w:p>
        </w:tc>
        <w:tc>
          <w:tcPr>
            <w:tcW w:w="6600" w:type="dxa"/>
            <w:gridSpan w:val="2"/>
          </w:tcPr>
          <w:p w14:paraId="3C523915" w14:textId="77777777" w:rsidR="001E20AF" w:rsidRPr="004177BE" w:rsidRDefault="001E20AF" w:rsidP="004177BE">
            <w:pPr>
              <w:spacing w:before="0" w:after="0"/>
              <w:rPr>
                <w:rFonts w:eastAsia="Calibri" w:cs="Tahoma"/>
                <w:szCs w:val="20"/>
              </w:rPr>
            </w:pPr>
            <w:r w:rsidRPr="004177BE">
              <w:rPr>
                <w:rFonts w:eastAsia="Calibri" w:cs="Tahoma"/>
                <w:szCs w:val="20"/>
              </w:rPr>
              <w:t>Meeting with Technical Team to agree and share responsibilities</w:t>
            </w:r>
          </w:p>
        </w:tc>
        <w:tc>
          <w:tcPr>
            <w:tcW w:w="1559" w:type="dxa"/>
            <w:vMerge/>
          </w:tcPr>
          <w:p w14:paraId="3964AB7A" w14:textId="77777777" w:rsidR="001E20AF" w:rsidRPr="004177BE" w:rsidRDefault="001E20AF" w:rsidP="00EC779A">
            <w:pPr>
              <w:spacing w:before="0" w:after="0"/>
              <w:jc w:val="center"/>
              <w:rPr>
                <w:rFonts w:eastAsia="Calibri" w:cs="Tahoma"/>
                <w:szCs w:val="20"/>
              </w:rPr>
            </w:pPr>
          </w:p>
        </w:tc>
      </w:tr>
      <w:tr w:rsidR="001E20AF" w:rsidRPr="004177BE" w14:paraId="25BFCB67" w14:textId="77777777" w:rsidTr="007F359B">
        <w:tc>
          <w:tcPr>
            <w:tcW w:w="625" w:type="dxa"/>
          </w:tcPr>
          <w:p w14:paraId="0BA93437" w14:textId="77777777" w:rsidR="001E20AF" w:rsidRPr="004177BE" w:rsidRDefault="001E20AF" w:rsidP="004177BE">
            <w:pPr>
              <w:spacing w:before="0" w:after="0"/>
              <w:rPr>
                <w:rFonts w:eastAsia="Calibri" w:cs="Tahoma"/>
                <w:szCs w:val="20"/>
              </w:rPr>
            </w:pPr>
            <w:r w:rsidRPr="004177BE">
              <w:rPr>
                <w:rFonts w:eastAsia="Calibri" w:cs="Tahoma"/>
                <w:szCs w:val="20"/>
              </w:rPr>
              <w:t>4</w:t>
            </w:r>
          </w:p>
        </w:tc>
        <w:tc>
          <w:tcPr>
            <w:tcW w:w="6600" w:type="dxa"/>
            <w:gridSpan w:val="2"/>
          </w:tcPr>
          <w:p w14:paraId="7544E99C" w14:textId="77777777" w:rsidR="001E20AF" w:rsidRPr="004177BE" w:rsidRDefault="001E20AF" w:rsidP="004177BE">
            <w:pPr>
              <w:spacing w:before="0" w:after="0"/>
              <w:rPr>
                <w:rFonts w:eastAsia="Calibri" w:cs="Tahoma"/>
                <w:szCs w:val="20"/>
              </w:rPr>
            </w:pPr>
            <w:r w:rsidRPr="004177BE">
              <w:rPr>
                <w:rFonts w:eastAsia="Calibri" w:cs="Tahoma"/>
                <w:szCs w:val="20"/>
              </w:rPr>
              <w:t xml:space="preserve">Meeting with Civil Society Organizations </w:t>
            </w:r>
          </w:p>
        </w:tc>
        <w:tc>
          <w:tcPr>
            <w:tcW w:w="1559" w:type="dxa"/>
            <w:vMerge/>
          </w:tcPr>
          <w:p w14:paraId="6FC2F862" w14:textId="77777777" w:rsidR="001E20AF" w:rsidRPr="004177BE" w:rsidRDefault="001E20AF" w:rsidP="00EC779A">
            <w:pPr>
              <w:spacing w:before="0" w:after="0"/>
              <w:jc w:val="center"/>
              <w:rPr>
                <w:rFonts w:eastAsia="Calibri" w:cs="Tahoma"/>
                <w:szCs w:val="20"/>
              </w:rPr>
            </w:pPr>
          </w:p>
        </w:tc>
      </w:tr>
      <w:tr w:rsidR="001E20AF" w:rsidRPr="004177BE" w14:paraId="14594FC5" w14:textId="77777777" w:rsidTr="007F359B">
        <w:tc>
          <w:tcPr>
            <w:tcW w:w="625" w:type="dxa"/>
          </w:tcPr>
          <w:p w14:paraId="49EAF560" w14:textId="77777777" w:rsidR="001E20AF" w:rsidRPr="004177BE" w:rsidRDefault="001E20AF" w:rsidP="004177BE">
            <w:pPr>
              <w:spacing w:before="0" w:after="0"/>
              <w:rPr>
                <w:rFonts w:eastAsia="Calibri" w:cs="Tahoma"/>
                <w:szCs w:val="20"/>
              </w:rPr>
            </w:pPr>
            <w:r w:rsidRPr="004177BE">
              <w:rPr>
                <w:rFonts w:eastAsia="Calibri" w:cs="Tahoma"/>
                <w:szCs w:val="20"/>
              </w:rPr>
              <w:t>5</w:t>
            </w:r>
          </w:p>
        </w:tc>
        <w:tc>
          <w:tcPr>
            <w:tcW w:w="6600" w:type="dxa"/>
            <w:gridSpan w:val="2"/>
          </w:tcPr>
          <w:p w14:paraId="55D43E3D" w14:textId="77777777" w:rsidR="001E20AF" w:rsidRPr="004177BE" w:rsidRDefault="001E20AF" w:rsidP="004177BE">
            <w:pPr>
              <w:spacing w:before="0" w:after="0"/>
              <w:rPr>
                <w:rFonts w:eastAsia="Calibri" w:cs="Tahoma"/>
                <w:szCs w:val="20"/>
              </w:rPr>
            </w:pPr>
            <w:r w:rsidRPr="004177BE">
              <w:rPr>
                <w:rFonts w:eastAsia="Calibri" w:cs="Tahoma"/>
                <w:szCs w:val="20"/>
              </w:rPr>
              <w:t>Data gathering and harmonization</w:t>
            </w:r>
          </w:p>
        </w:tc>
        <w:tc>
          <w:tcPr>
            <w:tcW w:w="1559" w:type="dxa"/>
            <w:vMerge w:val="restart"/>
          </w:tcPr>
          <w:p w14:paraId="4A64863F" w14:textId="77777777" w:rsidR="001E20AF" w:rsidRPr="004177BE" w:rsidRDefault="001E20AF" w:rsidP="00EC779A">
            <w:pPr>
              <w:spacing w:before="0" w:after="0"/>
              <w:jc w:val="center"/>
              <w:rPr>
                <w:rFonts w:eastAsia="Calibri" w:cs="Tahoma"/>
                <w:szCs w:val="20"/>
              </w:rPr>
            </w:pPr>
          </w:p>
          <w:p w14:paraId="0D7F01CC" w14:textId="6EBCCEA8" w:rsidR="001E20AF" w:rsidRPr="004177BE" w:rsidRDefault="001E20AF" w:rsidP="00EC779A">
            <w:pPr>
              <w:spacing w:before="0" w:after="0"/>
              <w:jc w:val="center"/>
              <w:rPr>
                <w:rFonts w:eastAsia="Calibri" w:cs="Tahoma"/>
                <w:szCs w:val="20"/>
              </w:rPr>
            </w:pPr>
            <w:r w:rsidRPr="004177BE">
              <w:rPr>
                <w:rFonts w:eastAsia="Calibri" w:cs="Tahoma"/>
                <w:szCs w:val="20"/>
              </w:rPr>
              <w:t>April/May</w:t>
            </w:r>
          </w:p>
          <w:p w14:paraId="5C749998" w14:textId="77777777" w:rsidR="001E20AF" w:rsidRPr="004177BE" w:rsidRDefault="001E20AF" w:rsidP="00EC779A">
            <w:pPr>
              <w:spacing w:before="0" w:after="0"/>
              <w:jc w:val="center"/>
              <w:rPr>
                <w:rFonts w:eastAsia="Calibri" w:cs="Tahoma"/>
                <w:szCs w:val="20"/>
              </w:rPr>
            </w:pPr>
          </w:p>
          <w:p w14:paraId="003535B0" w14:textId="77777777" w:rsidR="001E20AF" w:rsidRPr="004177BE" w:rsidRDefault="001E20AF" w:rsidP="00EC779A">
            <w:pPr>
              <w:spacing w:before="0" w:after="0"/>
              <w:jc w:val="center"/>
              <w:rPr>
                <w:rFonts w:eastAsia="Calibri" w:cs="Tahoma"/>
                <w:szCs w:val="20"/>
              </w:rPr>
            </w:pPr>
          </w:p>
        </w:tc>
      </w:tr>
      <w:tr w:rsidR="001E20AF" w:rsidRPr="004177BE" w14:paraId="5EC33EDC" w14:textId="77777777" w:rsidTr="007F359B">
        <w:tc>
          <w:tcPr>
            <w:tcW w:w="625" w:type="dxa"/>
          </w:tcPr>
          <w:p w14:paraId="41560033" w14:textId="77777777" w:rsidR="001E20AF" w:rsidRPr="004177BE" w:rsidRDefault="001E20AF" w:rsidP="004177BE">
            <w:pPr>
              <w:spacing w:before="0" w:after="0"/>
              <w:rPr>
                <w:rFonts w:eastAsia="Calibri" w:cs="Tahoma"/>
                <w:szCs w:val="20"/>
              </w:rPr>
            </w:pPr>
            <w:r w:rsidRPr="004177BE">
              <w:rPr>
                <w:rFonts w:eastAsia="Calibri" w:cs="Tahoma"/>
                <w:szCs w:val="20"/>
              </w:rPr>
              <w:t>6</w:t>
            </w:r>
          </w:p>
        </w:tc>
        <w:tc>
          <w:tcPr>
            <w:tcW w:w="6600" w:type="dxa"/>
            <w:gridSpan w:val="2"/>
          </w:tcPr>
          <w:p w14:paraId="1B527F40" w14:textId="77777777" w:rsidR="001E20AF" w:rsidRPr="004177BE" w:rsidRDefault="001E20AF" w:rsidP="004177BE">
            <w:pPr>
              <w:spacing w:before="0" w:after="0"/>
              <w:rPr>
                <w:rFonts w:eastAsia="Calibri" w:cs="Tahoma"/>
                <w:szCs w:val="20"/>
              </w:rPr>
            </w:pPr>
            <w:r w:rsidRPr="004177BE">
              <w:rPr>
                <w:rFonts w:eastAsia="Calibri" w:cs="Tahoma"/>
                <w:szCs w:val="20"/>
              </w:rPr>
              <w:t>Inputting data into the template</w:t>
            </w:r>
          </w:p>
        </w:tc>
        <w:tc>
          <w:tcPr>
            <w:tcW w:w="1559" w:type="dxa"/>
            <w:vMerge/>
          </w:tcPr>
          <w:p w14:paraId="46E87452" w14:textId="77777777" w:rsidR="001E20AF" w:rsidRPr="004177BE" w:rsidRDefault="001E20AF" w:rsidP="00EC779A">
            <w:pPr>
              <w:spacing w:before="0" w:after="0"/>
              <w:jc w:val="center"/>
              <w:rPr>
                <w:rFonts w:eastAsia="Calibri" w:cs="Tahoma"/>
                <w:szCs w:val="20"/>
              </w:rPr>
            </w:pPr>
          </w:p>
        </w:tc>
      </w:tr>
      <w:tr w:rsidR="001E20AF" w:rsidRPr="004177BE" w14:paraId="64B138F8" w14:textId="77777777" w:rsidTr="007F359B">
        <w:tc>
          <w:tcPr>
            <w:tcW w:w="625" w:type="dxa"/>
          </w:tcPr>
          <w:p w14:paraId="034F6C4C" w14:textId="77777777" w:rsidR="001E20AF" w:rsidRPr="004177BE" w:rsidRDefault="001E20AF" w:rsidP="004177BE">
            <w:pPr>
              <w:spacing w:before="0" w:after="0"/>
              <w:rPr>
                <w:rFonts w:eastAsia="Calibri" w:cs="Tahoma"/>
                <w:szCs w:val="20"/>
              </w:rPr>
            </w:pPr>
            <w:r w:rsidRPr="004177BE">
              <w:rPr>
                <w:rFonts w:eastAsia="Calibri" w:cs="Tahoma"/>
                <w:szCs w:val="20"/>
              </w:rPr>
              <w:t>7</w:t>
            </w:r>
          </w:p>
        </w:tc>
        <w:tc>
          <w:tcPr>
            <w:tcW w:w="6600" w:type="dxa"/>
            <w:gridSpan w:val="2"/>
          </w:tcPr>
          <w:p w14:paraId="18FA4214" w14:textId="7F3097A4" w:rsidR="001E20AF" w:rsidRPr="004177BE" w:rsidRDefault="001E20AF" w:rsidP="004177BE">
            <w:pPr>
              <w:spacing w:before="0" w:after="0"/>
              <w:rPr>
                <w:rFonts w:eastAsia="Calibri" w:cs="Tahoma"/>
                <w:szCs w:val="20"/>
              </w:rPr>
            </w:pPr>
            <w:r w:rsidRPr="004177BE">
              <w:rPr>
                <w:rFonts w:eastAsia="Calibri" w:cs="Tahoma"/>
                <w:szCs w:val="20"/>
              </w:rPr>
              <w:t xml:space="preserve">Development of </w:t>
            </w:r>
            <w:r w:rsidR="00CD6A12">
              <w:rPr>
                <w:rFonts w:eastAsia="Calibri" w:cs="Tahoma"/>
                <w:szCs w:val="20"/>
              </w:rPr>
              <w:t xml:space="preserve">an </w:t>
            </w:r>
            <w:r w:rsidRPr="004177BE">
              <w:rPr>
                <w:rFonts w:eastAsia="Calibri" w:cs="Tahoma"/>
                <w:szCs w:val="20"/>
              </w:rPr>
              <w:t>indicative macro-economic framework</w:t>
            </w:r>
          </w:p>
        </w:tc>
        <w:tc>
          <w:tcPr>
            <w:tcW w:w="1559" w:type="dxa"/>
            <w:vMerge/>
          </w:tcPr>
          <w:p w14:paraId="53C5C206" w14:textId="77777777" w:rsidR="001E20AF" w:rsidRPr="004177BE" w:rsidRDefault="001E20AF" w:rsidP="00EC779A">
            <w:pPr>
              <w:spacing w:before="0" w:after="0"/>
              <w:jc w:val="center"/>
              <w:rPr>
                <w:rFonts w:eastAsia="Calibri" w:cs="Tahoma"/>
                <w:szCs w:val="20"/>
              </w:rPr>
            </w:pPr>
          </w:p>
        </w:tc>
      </w:tr>
      <w:tr w:rsidR="001E20AF" w:rsidRPr="004177BE" w14:paraId="01B3C87D" w14:textId="77777777" w:rsidTr="007F359B">
        <w:tc>
          <w:tcPr>
            <w:tcW w:w="625" w:type="dxa"/>
          </w:tcPr>
          <w:p w14:paraId="7DE3654C" w14:textId="77777777" w:rsidR="001E20AF" w:rsidRPr="004177BE" w:rsidRDefault="001E20AF" w:rsidP="004177BE">
            <w:pPr>
              <w:spacing w:before="0" w:after="0"/>
              <w:rPr>
                <w:rFonts w:eastAsia="Calibri" w:cs="Tahoma"/>
                <w:szCs w:val="20"/>
              </w:rPr>
            </w:pPr>
            <w:r w:rsidRPr="004177BE">
              <w:rPr>
                <w:rFonts w:eastAsia="Calibri" w:cs="Tahoma"/>
                <w:szCs w:val="20"/>
              </w:rPr>
              <w:t>8</w:t>
            </w:r>
          </w:p>
        </w:tc>
        <w:tc>
          <w:tcPr>
            <w:tcW w:w="6600" w:type="dxa"/>
            <w:gridSpan w:val="2"/>
          </w:tcPr>
          <w:p w14:paraId="17B20155" w14:textId="77777777" w:rsidR="001E20AF" w:rsidRPr="004177BE" w:rsidRDefault="001E20AF" w:rsidP="004177BE">
            <w:pPr>
              <w:spacing w:before="0" w:after="0"/>
              <w:rPr>
                <w:rFonts w:eastAsia="Calibri" w:cs="Tahoma"/>
                <w:szCs w:val="20"/>
              </w:rPr>
            </w:pPr>
            <w:r w:rsidRPr="004177BE">
              <w:rPr>
                <w:rFonts w:eastAsia="Calibri" w:cs="Tahoma"/>
                <w:szCs w:val="20"/>
              </w:rPr>
              <w:t>Harmonization of group work</w:t>
            </w:r>
          </w:p>
        </w:tc>
        <w:tc>
          <w:tcPr>
            <w:tcW w:w="1559" w:type="dxa"/>
            <w:vMerge/>
          </w:tcPr>
          <w:p w14:paraId="22E9E2F0" w14:textId="77777777" w:rsidR="001E20AF" w:rsidRPr="004177BE" w:rsidRDefault="001E20AF" w:rsidP="00EC779A">
            <w:pPr>
              <w:spacing w:before="0" w:after="0"/>
              <w:jc w:val="center"/>
              <w:rPr>
                <w:rFonts w:eastAsia="Calibri" w:cs="Tahoma"/>
                <w:szCs w:val="20"/>
              </w:rPr>
            </w:pPr>
          </w:p>
        </w:tc>
      </w:tr>
      <w:tr w:rsidR="001E20AF" w:rsidRPr="004177BE" w14:paraId="07F5A39B" w14:textId="77777777" w:rsidTr="007F359B">
        <w:tc>
          <w:tcPr>
            <w:tcW w:w="625" w:type="dxa"/>
          </w:tcPr>
          <w:p w14:paraId="691F18D5" w14:textId="77777777" w:rsidR="001E20AF" w:rsidRPr="004177BE" w:rsidRDefault="001E20AF" w:rsidP="004177BE">
            <w:pPr>
              <w:spacing w:before="0" w:after="0"/>
              <w:rPr>
                <w:rFonts w:eastAsia="Calibri" w:cs="Tahoma"/>
                <w:szCs w:val="20"/>
              </w:rPr>
            </w:pPr>
            <w:r w:rsidRPr="004177BE">
              <w:rPr>
                <w:rFonts w:eastAsia="Calibri" w:cs="Tahoma"/>
                <w:szCs w:val="20"/>
              </w:rPr>
              <w:t>9</w:t>
            </w:r>
          </w:p>
        </w:tc>
        <w:tc>
          <w:tcPr>
            <w:tcW w:w="6600" w:type="dxa"/>
            <w:gridSpan w:val="2"/>
          </w:tcPr>
          <w:p w14:paraId="690890C6" w14:textId="77777777" w:rsidR="001E20AF" w:rsidRPr="004177BE" w:rsidRDefault="001E20AF" w:rsidP="004177BE">
            <w:pPr>
              <w:spacing w:before="0" w:after="0"/>
              <w:rPr>
                <w:rFonts w:eastAsia="Calibri" w:cs="Tahoma"/>
                <w:szCs w:val="20"/>
              </w:rPr>
            </w:pPr>
            <w:r w:rsidRPr="004177BE">
              <w:rPr>
                <w:rFonts w:eastAsia="Calibri" w:cs="Tahoma"/>
                <w:szCs w:val="20"/>
              </w:rPr>
              <w:t>Drafting</w:t>
            </w:r>
          </w:p>
        </w:tc>
        <w:tc>
          <w:tcPr>
            <w:tcW w:w="1559" w:type="dxa"/>
            <w:vMerge w:val="restart"/>
          </w:tcPr>
          <w:p w14:paraId="08A6F445" w14:textId="2C2A8189" w:rsidR="001E20AF" w:rsidRPr="004177BE" w:rsidRDefault="0056306C" w:rsidP="00EC779A">
            <w:pPr>
              <w:spacing w:before="0" w:after="0"/>
              <w:jc w:val="center"/>
              <w:rPr>
                <w:rFonts w:eastAsia="Calibri" w:cs="Tahoma"/>
                <w:szCs w:val="20"/>
              </w:rPr>
            </w:pPr>
            <w:r w:rsidRPr="004177BE">
              <w:rPr>
                <w:rFonts w:eastAsia="Calibri" w:cs="Tahoma"/>
                <w:szCs w:val="20"/>
              </w:rPr>
              <w:t>June</w:t>
            </w:r>
          </w:p>
        </w:tc>
      </w:tr>
      <w:tr w:rsidR="001E20AF" w:rsidRPr="004177BE" w14:paraId="5049C72D" w14:textId="77777777" w:rsidTr="007F359B">
        <w:tc>
          <w:tcPr>
            <w:tcW w:w="625" w:type="dxa"/>
          </w:tcPr>
          <w:p w14:paraId="75922F0C" w14:textId="77777777" w:rsidR="001E20AF" w:rsidRPr="004177BE" w:rsidRDefault="001E20AF" w:rsidP="004177BE">
            <w:pPr>
              <w:spacing w:before="0" w:after="0"/>
              <w:rPr>
                <w:rFonts w:eastAsia="Calibri" w:cs="Tahoma"/>
                <w:szCs w:val="20"/>
              </w:rPr>
            </w:pPr>
            <w:r w:rsidRPr="004177BE">
              <w:rPr>
                <w:rFonts w:eastAsia="Calibri" w:cs="Tahoma"/>
                <w:szCs w:val="20"/>
              </w:rPr>
              <w:t>10</w:t>
            </w:r>
          </w:p>
        </w:tc>
        <w:tc>
          <w:tcPr>
            <w:tcW w:w="6600" w:type="dxa"/>
            <w:gridSpan w:val="2"/>
          </w:tcPr>
          <w:p w14:paraId="0423D2FA" w14:textId="77777777" w:rsidR="001E20AF" w:rsidRPr="004177BE" w:rsidRDefault="001E20AF" w:rsidP="004177BE">
            <w:pPr>
              <w:spacing w:before="0" w:after="0"/>
              <w:rPr>
                <w:rFonts w:eastAsia="Calibri" w:cs="Tahoma"/>
                <w:szCs w:val="20"/>
              </w:rPr>
            </w:pPr>
            <w:r w:rsidRPr="004177BE">
              <w:rPr>
                <w:rFonts w:eastAsia="Calibri" w:cs="Tahoma"/>
                <w:szCs w:val="20"/>
              </w:rPr>
              <w:t>Review of MTEF structure/content for possible addition</w:t>
            </w:r>
          </w:p>
        </w:tc>
        <w:tc>
          <w:tcPr>
            <w:tcW w:w="1559" w:type="dxa"/>
            <w:vMerge/>
          </w:tcPr>
          <w:p w14:paraId="6D617EC9" w14:textId="77777777" w:rsidR="001E20AF" w:rsidRPr="004177BE" w:rsidRDefault="001E20AF" w:rsidP="00EC779A">
            <w:pPr>
              <w:spacing w:before="0" w:after="0"/>
              <w:jc w:val="center"/>
              <w:rPr>
                <w:rFonts w:eastAsia="Calibri" w:cs="Tahoma"/>
                <w:szCs w:val="20"/>
              </w:rPr>
            </w:pPr>
          </w:p>
        </w:tc>
      </w:tr>
      <w:tr w:rsidR="001E20AF" w:rsidRPr="004177BE" w14:paraId="5DD83439" w14:textId="77777777" w:rsidTr="007F359B">
        <w:tc>
          <w:tcPr>
            <w:tcW w:w="625" w:type="dxa"/>
          </w:tcPr>
          <w:p w14:paraId="396AE164" w14:textId="77777777" w:rsidR="001E20AF" w:rsidRPr="004177BE" w:rsidRDefault="001E20AF" w:rsidP="004177BE">
            <w:pPr>
              <w:spacing w:before="0" w:after="0"/>
              <w:rPr>
                <w:rFonts w:eastAsia="Calibri" w:cs="Tahoma"/>
                <w:szCs w:val="20"/>
              </w:rPr>
            </w:pPr>
            <w:r w:rsidRPr="004177BE">
              <w:rPr>
                <w:rFonts w:eastAsia="Calibri" w:cs="Tahoma"/>
                <w:szCs w:val="20"/>
              </w:rPr>
              <w:t>11</w:t>
            </w:r>
          </w:p>
        </w:tc>
        <w:tc>
          <w:tcPr>
            <w:tcW w:w="6600" w:type="dxa"/>
            <w:gridSpan w:val="2"/>
          </w:tcPr>
          <w:p w14:paraId="54557D36" w14:textId="7265198B" w:rsidR="001E20AF" w:rsidRPr="004177BE" w:rsidRDefault="001E20AF" w:rsidP="004177BE">
            <w:pPr>
              <w:spacing w:before="0" w:after="0"/>
              <w:rPr>
                <w:rFonts w:eastAsia="Calibri" w:cs="Tahoma"/>
                <w:szCs w:val="20"/>
              </w:rPr>
            </w:pPr>
            <w:r w:rsidRPr="004177BE">
              <w:rPr>
                <w:rFonts w:eastAsia="Calibri" w:cs="Tahoma"/>
                <w:szCs w:val="20"/>
              </w:rPr>
              <w:t xml:space="preserve">Production of </w:t>
            </w:r>
            <w:r w:rsidR="00CD6A12">
              <w:rPr>
                <w:rFonts w:eastAsia="Calibri" w:cs="Tahoma"/>
                <w:szCs w:val="20"/>
              </w:rPr>
              <w:t xml:space="preserve">the </w:t>
            </w:r>
            <w:r w:rsidRPr="004177BE">
              <w:rPr>
                <w:rFonts w:eastAsia="Calibri" w:cs="Tahoma"/>
                <w:szCs w:val="20"/>
              </w:rPr>
              <w:t>first draft</w:t>
            </w:r>
          </w:p>
        </w:tc>
        <w:tc>
          <w:tcPr>
            <w:tcW w:w="1559" w:type="dxa"/>
            <w:vMerge w:val="restart"/>
          </w:tcPr>
          <w:p w14:paraId="6EB1702F" w14:textId="77777777" w:rsidR="001E20AF" w:rsidRPr="004177BE" w:rsidRDefault="001E20AF" w:rsidP="00EC779A">
            <w:pPr>
              <w:spacing w:before="0" w:after="0"/>
              <w:jc w:val="center"/>
              <w:rPr>
                <w:rFonts w:eastAsia="Calibri" w:cs="Tahoma"/>
                <w:szCs w:val="20"/>
              </w:rPr>
            </w:pPr>
          </w:p>
          <w:p w14:paraId="2829A6AC" w14:textId="77777777" w:rsidR="001E20AF" w:rsidRPr="004177BE" w:rsidRDefault="001E20AF" w:rsidP="00EC779A">
            <w:pPr>
              <w:spacing w:before="0" w:after="0"/>
              <w:jc w:val="center"/>
              <w:rPr>
                <w:rFonts w:eastAsia="Calibri" w:cs="Tahoma"/>
                <w:szCs w:val="20"/>
              </w:rPr>
            </w:pPr>
          </w:p>
          <w:p w14:paraId="60EBE807" w14:textId="77777777" w:rsidR="001E20AF" w:rsidRPr="004177BE" w:rsidRDefault="001E20AF" w:rsidP="00EC779A">
            <w:pPr>
              <w:spacing w:before="0" w:after="0"/>
              <w:jc w:val="center"/>
              <w:rPr>
                <w:rFonts w:eastAsia="Calibri" w:cs="Tahoma"/>
                <w:szCs w:val="20"/>
              </w:rPr>
            </w:pPr>
          </w:p>
          <w:p w14:paraId="553142B0" w14:textId="094B3594" w:rsidR="001E20AF" w:rsidRPr="004177BE" w:rsidRDefault="0056306C" w:rsidP="00EC779A">
            <w:pPr>
              <w:spacing w:before="0" w:after="0"/>
              <w:jc w:val="center"/>
              <w:rPr>
                <w:rFonts w:eastAsia="Calibri" w:cs="Tahoma"/>
                <w:szCs w:val="20"/>
              </w:rPr>
            </w:pPr>
            <w:r w:rsidRPr="004177BE">
              <w:rPr>
                <w:rFonts w:eastAsia="Calibri" w:cs="Tahoma"/>
                <w:szCs w:val="20"/>
              </w:rPr>
              <w:t>June/July</w:t>
            </w:r>
          </w:p>
        </w:tc>
      </w:tr>
      <w:tr w:rsidR="001E20AF" w:rsidRPr="004177BE" w14:paraId="66D0B160" w14:textId="77777777" w:rsidTr="007F359B">
        <w:tc>
          <w:tcPr>
            <w:tcW w:w="625" w:type="dxa"/>
          </w:tcPr>
          <w:p w14:paraId="4A586A30" w14:textId="77777777" w:rsidR="001E20AF" w:rsidRPr="004177BE" w:rsidRDefault="001E20AF" w:rsidP="004177BE">
            <w:pPr>
              <w:spacing w:before="0" w:after="0"/>
              <w:rPr>
                <w:rFonts w:eastAsia="Calibri" w:cs="Tahoma"/>
                <w:szCs w:val="20"/>
              </w:rPr>
            </w:pPr>
            <w:r w:rsidRPr="004177BE">
              <w:rPr>
                <w:rFonts w:eastAsia="Calibri" w:cs="Tahoma"/>
                <w:szCs w:val="20"/>
              </w:rPr>
              <w:t>12</w:t>
            </w:r>
          </w:p>
        </w:tc>
        <w:tc>
          <w:tcPr>
            <w:tcW w:w="6600" w:type="dxa"/>
            <w:gridSpan w:val="2"/>
          </w:tcPr>
          <w:p w14:paraId="3CEE9A77" w14:textId="77777777" w:rsidR="001E20AF" w:rsidRPr="004177BE" w:rsidRDefault="001E20AF" w:rsidP="004177BE">
            <w:pPr>
              <w:spacing w:before="0" w:after="0"/>
              <w:rPr>
                <w:rFonts w:eastAsia="Calibri" w:cs="Tahoma"/>
                <w:szCs w:val="20"/>
              </w:rPr>
            </w:pPr>
            <w:r w:rsidRPr="004177BE">
              <w:rPr>
                <w:rFonts w:eastAsia="Calibri" w:cs="Tahoma"/>
                <w:szCs w:val="20"/>
              </w:rPr>
              <w:t>Meeting with CSOs and technical team to review the entire draft</w:t>
            </w:r>
          </w:p>
        </w:tc>
        <w:tc>
          <w:tcPr>
            <w:tcW w:w="1559" w:type="dxa"/>
            <w:vMerge/>
          </w:tcPr>
          <w:p w14:paraId="28A897B5" w14:textId="77777777" w:rsidR="001E20AF" w:rsidRPr="004177BE" w:rsidRDefault="001E20AF" w:rsidP="00EC779A">
            <w:pPr>
              <w:spacing w:before="0" w:after="0"/>
              <w:jc w:val="center"/>
              <w:rPr>
                <w:rFonts w:eastAsia="Calibri" w:cs="Tahoma"/>
                <w:szCs w:val="20"/>
              </w:rPr>
            </w:pPr>
          </w:p>
        </w:tc>
      </w:tr>
      <w:tr w:rsidR="001E20AF" w:rsidRPr="004177BE" w14:paraId="0A127F3D" w14:textId="77777777" w:rsidTr="007F359B">
        <w:tc>
          <w:tcPr>
            <w:tcW w:w="625" w:type="dxa"/>
          </w:tcPr>
          <w:p w14:paraId="6F3199AC" w14:textId="77777777" w:rsidR="001E20AF" w:rsidRPr="004177BE" w:rsidRDefault="001E20AF" w:rsidP="004177BE">
            <w:pPr>
              <w:spacing w:before="0" w:after="0"/>
              <w:rPr>
                <w:rFonts w:eastAsia="Calibri" w:cs="Tahoma"/>
                <w:szCs w:val="20"/>
              </w:rPr>
            </w:pPr>
            <w:r w:rsidRPr="004177BE">
              <w:rPr>
                <w:rFonts w:eastAsia="Calibri" w:cs="Tahoma"/>
                <w:szCs w:val="20"/>
              </w:rPr>
              <w:t>13</w:t>
            </w:r>
          </w:p>
        </w:tc>
        <w:tc>
          <w:tcPr>
            <w:tcW w:w="6600" w:type="dxa"/>
            <w:gridSpan w:val="2"/>
          </w:tcPr>
          <w:p w14:paraId="5CE1479B" w14:textId="77777777" w:rsidR="001E20AF" w:rsidRPr="004177BE" w:rsidRDefault="001E20AF" w:rsidP="004177BE">
            <w:pPr>
              <w:spacing w:before="0" w:after="0"/>
              <w:rPr>
                <w:rFonts w:eastAsia="Calibri" w:cs="Tahoma"/>
                <w:szCs w:val="20"/>
              </w:rPr>
            </w:pPr>
            <w:r w:rsidRPr="004177BE">
              <w:rPr>
                <w:rFonts w:eastAsia="Calibri" w:cs="Tahoma"/>
                <w:szCs w:val="20"/>
              </w:rPr>
              <w:t>Forwarding of the first draft to the Consultant for technical review</w:t>
            </w:r>
          </w:p>
        </w:tc>
        <w:tc>
          <w:tcPr>
            <w:tcW w:w="1559" w:type="dxa"/>
            <w:vMerge/>
          </w:tcPr>
          <w:p w14:paraId="4984E358" w14:textId="77777777" w:rsidR="001E20AF" w:rsidRPr="004177BE" w:rsidRDefault="001E20AF" w:rsidP="00EC779A">
            <w:pPr>
              <w:spacing w:before="0" w:after="0"/>
              <w:jc w:val="center"/>
              <w:rPr>
                <w:rFonts w:eastAsia="Calibri" w:cs="Tahoma"/>
                <w:szCs w:val="20"/>
              </w:rPr>
            </w:pPr>
          </w:p>
        </w:tc>
      </w:tr>
      <w:tr w:rsidR="001E20AF" w:rsidRPr="004177BE" w14:paraId="29712CF2" w14:textId="77777777" w:rsidTr="007F359B">
        <w:tc>
          <w:tcPr>
            <w:tcW w:w="625" w:type="dxa"/>
          </w:tcPr>
          <w:p w14:paraId="02A7F997" w14:textId="77777777" w:rsidR="001E20AF" w:rsidRPr="004177BE" w:rsidRDefault="001E20AF" w:rsidP="004177BE">
            <w:pPr>
              <w:spacing w:before="0" w:after="0"/>
              <w:rPr>
                <w:rFonts w:eastAsia="Calibri" w:cs="Tahoma"/>
                <w:szCs w:val="20"/>
              </w:rPr>
            </w:pPr>
            <w:r w:rsidRPr="004177BE">
              <w:rPr>
                <w:rFonts w:eastAsia="Calibri" w:cs="Tahoma"/>
                <w:szCs w:val="20"/>
              </w:rPr>
              <w:t>14</w:t>
            </w:r>
          </w:p>
        </w:tc>
        <w:tc>
          <w:tcPr>
            <w:tcW w:w="6600" w:type="dxa"/>
            <w:gridSpan w:val="2"/>
          </w:tcPr>
          <w:p w14:paraId="011ED2B4" w14:textId="77777777" w:rsidR="001E20AF" w:rsidRPr="004177BE" w:rsidRDefault="001E20AF" w:rsidP="004177BE">
            <w:pPr>
              <w:tabs>
                <w:tab w:val="left" w:pos="1290"/>
              </w:tabs>
              <w:spacing w:before="0" w:after="0"/>
              <w:rPr>
                <w:rFonts w:eastAsia="Calibri" w:cs="Tahoma"/>
                <w:szCs w:val="20"/>
              </w:rPr>
            </w:pPr>
            <w:r w:rsidRPr="004177BE">
              <w:rPr>
                <w:rFonts w:eastAsia="Calibri" w:cs="Tahoma"/>
                <w:szCs w:val="20"/>
              </w:rPr>
              <w:t>Engagement on the draft MTEF (Private Sector, Market Associations, People Living with Disability (PLWD) and Academia)</w:t>
            </w:r>
          </w:p>
        </w:tc>
        <w:tc>
          <w:tcPr>
            <w:tcW w:w="1559" w:type="dxa"/>
            <w:vMerge/>
          </w:tcPr>
          <w:p w14:paraId="1685E364" w14:textId="77777777" w:rsidR="001E20AF" w:rsidRPr="004177BE" w:rsidRDefault="001E20AF" w:rsidP="00EC779A">
            <w:pPr>
              <w:spacing w:before="0" w:after="0"/>
              <w:jc w:val="center"/>
              <w:rPr>
                <w:rFonts w:eastAsia="Calibri" w:cs="Tahoma"/>
                <w:szCs w:val="20"/>
              </w:rPr>
            </w:pPr>
          </w:p>
        </w:tc>
      </w:tr>
      <w:tr w:rsidR="001E20AF" w:rsidRPr="004177BE" w14:paraId="45B3F5E8" w14:textId="77777777" w:rsidTr="007F359B">
        <w:tc>
          <w:tcPr>
            <w:tcW w:w="625" w:type="dxa"/>
          </w:tcPr>
          <w:p w14:paraId="75D5FA69" w14:textId="77777777" w:rsidR="001E20AF" w:rsidRPr="004177BE" w:rsidRDefault="001E20AF" w:rsidP="004177BE">
            <w:pPr>
              <w:spacing w:before="0" w:after="0"/>
              <w:rPr>
                <w:rFonts w:eastAsia="Calibri" w:cs="Tahoma"/>
                <w:szCs w:val="20"/>
              </w:rPr>
            </w:pPr>
            <w:r w:rsidRPr="004177BE">
              <w:rPr>
                <w:rFonts w:eastAsia="Calibri" w:cs="Tahoma"/>
                <w:szCs w:val="20"/>
              </w:rPr>
              <w:t>15</w:t>
            </w:r>
          </w:p>
        </w:tc>
        <w:tc>
          <w:tcPr>
            <w:tcW w:w="6600" w:type="dxa"/>
            <w:gridSpan w:val="2"/>
          </w:tcPr>
          <w:p w14:paraId="2CF490E5" w14:textId="3E16DDFF" w:rsidR="001E20AF" w:rsidRPr="004177BE" w:rsidRDefault="001E20AF" w:rsidP="004177BE">
            <w:pPr>
              <w:tabs>
                <w:tab w:val="left" w:pos="1290"/>
              </w:tabs>
              <w:spacing w:before="0" w:after="0"/>
              <w:rPr>
                <w:rFonts w:eastAsia="Calibri" w:cs="Tahoma"/>
                <w:szCs w:val="20"/>
              </w:rPr>
            </w:pPr>
            <w:r w:rsidRPr="004177BE">
              <w:rPr>
                <w:rFonts w:eastAsia="Calibri" w:cs="Tahoma"/>
                <w:szCs w:val="20"/>
              </w:rPr>
              <w:t xml:space="preserve">Production of </w:t>
            </w:r>
            <w:r w:rsidR="00CD6A12">
              <w:rPr>
                <w:rFonts w:eastAsia="Calibri" w:cs="Tahoma"/>
                <w:szCs w:val="20"/>
              </w:rPr>
              <w:t xml:space="preserve">the </w:t>
            </w:r>
            <w:r w:rsidRPr="004177BE">
              <w:rPr>
                <w:rFonts w:eastAsia="Calibri" w:cs="Tahoma"/>
                <w:szCs w:val="20"/>
              </w:rPr>
              <w:t xml:space="preserve">draft for presentation to </w:t>
            </w:r>
            <w:r w:rsidR="0004484E">
              <w:rPr>
                <w:rFonts w:eastAsia="Calibri" w:cs="Tahoma"/>
                <w:szCs w:val="20"/>
              </w:rPr>
              <w:t xml:space="preserve">the </w:t>
            </w:r>
            <w:r w:rsidRPr="004177BE">
              <w:rPr>
                <w:rFonts w:eastAsia="Calibri" w:cs="Tahoma"/>
                <w:szCs w:val="20"/>
              </w:rPr>
              <w:t>State Executive Council for deliberation</w:t>
            </w:r>
          </w:p>
        </w:tc>
        <w:tc>
          <w:tcPr>
            <w:tcW w:w="1559" w:type="dxa"/>
            <w:vMerge/>
          </w:tcPr>
          <w:p w14:paraId="3D6779AF" w14:textId="77777777" w:rsidR="001E20AF" w:rsidRPr="004177BE" w:rsidRDefault="001E20AF" w:rsidP="00EC779A">
            <w:pPr>
              <w:spacing w:before="0" w:after="0"/>
              <w:jc w:val="center"/>
              <w:rPr>
                <w:rFonts w:eastAsia="Calibri" w:cs="Tahoma"/>
                <w:szCs w:val="20"/>
              </w:rPr>
            </w:pPr>
          </w:p>
        </w:tc>
      </w:tr>
      <w:tr w:rsidR="001E20AF" w:rsidRPr="004177BE" w14:paraId="44C2072B" w14:textId="77777777" w:rsidTr="007F359B">
        <w:tc>
          <w:tcPr>
            <w:tcW w:w="625" w:type="dxa"/>
          </w:tcPr>
          <w:p w14:paraId="23ED9C20" w14:textId="77777777" w:rsidR="001E20AF" w:rsidRPr="004177BE" w:rsidRDefault="001E20AF" w:rsidP="004177BE">
            <w:pPr>
              <w:spacing w:before="0" w:after="0"/>
              <w:rPr>
                <w:rFonts w:eastAsia="Calibri" w:cs="Tahoma"/>
                <w:szCs w:val="20"/>
              </w:rPr>
            </w:pPr>
            <w:r w:rsidRPr="004177BE">
              <w:rPr>
                <w:rFonts w:eastAsia="Calibri" w:cs="Tahoma"/>
                <w:szCs w:val="20"/>
              </w:rPr>
              <w:t>16</w:t>
            </w:r>
          </w:p>
        </w:tc>
        <w:tc>
          <w:tcPr>
            <w:tcW w:w="6600" w:type="dxa"/>
            <w:gridSpan w:val="2"/>
          </w:tcPr>
          <w:p w14:paraId="6D8B3F1B" w14:textId="77777777" w:rsidR="001E20AF" w:rsidRPr="004177BE" w:rsidRDefault="001E20AF" w:rsidP="004177BE">
            <w:pPr>
              <w:tabs>
                <w:tab w:val="left" w:pos="1290"/>
              </w:tabs>
              <w:spacing w:before="0" w:after="0"/>
              <w:rPr>
                <w:rFonts w:eastAsia="Calibri" w:cs="Tahoma"/>
                <w:szCs w:val="20"/>
              </w:rPr>
            </w:pPr>
            <w:r w:rsidRPr="004177BE">
              <w:rPr>
                <w:rFonts w:eastAsia="Calibri" w:cs="Tahoma"/>
                <w:szCs w:val="20"/>
              </w:rPr>
              <w:t>Effect corrections based on Council’s comments and observations</w:t>
            </w:r>
          </w:p>
        </w:tc>
        <w:tc>
          <w:tcPr>
            <w:tcW w:w="1559" w:type="dxa"/>
            <w:vMerge/>
          </w:tcPr>
          <w:p w14:paraId="1200D397" w14:textId="77777777" w:rsidR="001E20AF" w:rsidRPr="004177BE" w:rsidRDefault="001E20AF" w:rsidP="00EC779A">
            <w:pPr>
              <w:spacing w:before="0" w:after="0"/>
              <w:jc w:val="center"/>
              <w:rPr>
                <w:rFonts w:eastAsia="Calibri" w:cs="Tahoma"/>
                <w:szCs w:val="20"/>
              </w:rPr>
            </w:pPr>
          </w:p>
        </w:tc>
      </w:tr>
      <w:tr w:rsidR="001E20AF" w:rsidRPr="004177BE" w14:paraId="116759EB" w14:textId="77777777" w:rsidTr="007F359B">
        <w:tc>
          <w:tcPr>
            <w:tcW w:w="625" w:type="dxa"/>
          </w:tcPr>
          <w:p w14:paraId="6299E91E" w14:textId="77777777" w:rsidR="001E20AF" w:rsidRPr="004177BE" w:rsidRDefault="001E20AF" w:rsidP="004177BE">
            <w:pPr>
              <w:spacing w:before="0" w:after="0"/>
              <w:rPr>
                <w:rFonts w:eastAsia="Calibri" w:cs="Tahoma"/>
                <w:szCs w:val="20"/>
              </w:rPr>
            </w:pPr>
            <w:r w:rsidRPr="004177BE">
              <w:rPr>
                <w:rFonts w:eastAsia="Calibri" w:cs="Tahoma"/>
                <w:szCs w:val="20"/>
              </w:rPr>
              <w:t>17</w:t>
            </w:r>
          </w:p>
        </w:tc>
        <w:tc>
          <w:tcPr>
            <w:tcW w:w="6600" w:type="dxa"/>
            <w:gridSpan w:val="2"/>
          </w:tcPr>
          <w:p w14:paraId="4590FE56" w14:textId="65225639" w:rsidR="001E20AF" w:rsidRPr="004177BE" w:rsidRDefault="001E20AF" w:rsidP="004177BE">
            <w:pPr>
              <w:tabs>
                <w:tab w:val="left" w:pos="1290"/>
              </w:tabs>
              <w:spacing w:before="0" w:after="0"/>
              <w:rPr>
                <w:rFonts w:eastAsia="Calibri" w:cs="Tahoma"/>
                <w:szCs w:val="20"/>
              </w:rPr>
            </w:pPr>
            <w:r w:rsidRPr="004177BE">
              <w:rPr>
                <w:rFonts w:eastAsia="Calibri" w:cs="Tahoma"/>
                <w:szCs w:val="20"/>
              </w:rPr>
              <w:t xml:space="preserve">Round-table dialogue with Members of </w:t>
            </w:r>
            <w:r w:rsidR="00BC6518">
              <w:rPr>
                <w:rFonts w:eastAsia="Calibri" w:cs="Tahoma"/>
                <w:szCs w:val="20"/>
              </w:rPr>
              <w:t xml:space="preserve">the </w:t>
            </w:r>
            <w:r w:rsidRPr="004177BE">
              <w:rPr>
                <w:rFonts w:eastAsia="Calibri" w:cs="Tahoma"/>
                <w:szCs w:val="20"/>
              </w:rPr>
              <w:t>State House of Assembly (SHoA)</w:t>
            </w:r>
          </w:p>
        </w:tc>
        <w:tc>
          <w:tcPr>
            <w:tcW w:w="1559" w:type="dxa"/>
            <w:vMerge w:val="restart"/>
          </w:tcPr>
          <w:p w14:paraId="667A0C4C" w14:textId="77777777" w:rsidR="001E20AF" w:rsidRPr="004177BE" w:rsidRDefault="001E20AF" w:rsidP="00EC779A">
            <w:pPr>
              <w:spacing w:before="0" w:after="0"/>
              <w:jc w:val="center"/>
              <w:rPr>
                <w:rFonts w:eastAsia="Calibri" w:cs="Tahoma"/>
                <w:szCs w:val="20"/>
              </w:rPr>
            </w:pPr>
            <w:r w:rsidRPr="004177BE">
              <w:rPr>
                <w:rFonts w:eastAsia="Calibri" w:cs="Tahoma"/>
                <w:szCs w:val="20"/>
              </w:rPr>
              <w:t>August</w:t>
            </w:r>
          </w:p>
          <w:p w14:paraId="73369E64" w14:textId="77777777" w:rsidR="001E20AF" w:rsidRPr="004177BE" w:rsidRDefault="001E20AF" w:rsidP="00EC779A">
            <w:pPr>
              <w:spacing w:before="0" w:after="0"/>
              <w:jc w:val="center"/>
              <w:rPr>
                <w:rFonts w:eastAsia="Calibri" w:cs="Tahoma"/>
                <w:szCs w:val="20"/>
              </w:rPr>
            </w:pPr>
          </w:p>
        </w:tc>
      </w:tr>
      <w:tr w:rsidR="001E20AF" w:rsidRPr="004177BE" w14:paraId="491FB85F" w14:textId="77777777" w:rsidTr="007F359B">
        <w:tc>
          <w:tcPr>
            <w:tcW w:w="625" w:type="dxa"/>
          </w:tcPr>
          <w:p w14:paraId="44F13BF3" w14:textId="77777777" w:rsidR="001E20AF" w:rsidRPr="004177BE" w:rsidRDefault="001E20AF" w:rsidP="004177BE">
            <w:pPr>
              <w:spacing w:before="0" w:after="0"/>
              <w:rPr>
                <w:rFonts w:eastAsia="Calibri" w:cs="Tahoma"/>
                <w:szCs w:val="20"/>
              </w:rPr>
            </w:pPr>
            <w:r w:rsidRPr="004177BE">
              <w:rPr>
                <w:rFonts w:eastAsia="Calibri" w:cs="Tahoma"/>
                <w:szCs w:val="20"/>
              </w:rPr>
              <w:t>18</w:t>
            </w:r>
          </w:p>
        </w:tc>
        <w:tc>
          <w:tcPr>
            <w:tcW w:w="6600" w:type="dxa"/>
            <w:gridSpan w:val="2"/>
          </w:tcPr>
          <w:p w14:paraId="7595C03A" w14:textId="027C7EAA" w:rsidR="001E20AF" w:rsidRPr="004177BE" w:rsidRDefault="001E20AF" w:rsidP="004177BE">
            <w:pPr>
              <w:tabs>
                <w:tab w:val="left" w:pos="1290"/>
              </w:tabs>
              <w:spacing w:before="0" w:after="0"/>
              <w:rPr>
                <w:rFonts w:eastAsia="Calibri" w:cs="Tahoma"/>
                <w:szCs w:val="20"/>
              </w:rPr>
            </w:pPr>
            <w:r w:rsidRPr="004177BE">
              <w:rPr>
                <w:rFonts w:eastAsia="Calibri" w:cs="Tahoma"/>
                <w:szCs w:val="20"/>
              </w:rPr>
              <w:t>Presentation of the Draft MTEF to the SHoA for Consideration and Approval</w:t>
            </w:r>
          </w:p>
        </w:tc>
        <w:tc>
          <w:tcPr>
            <w:tcW w:w="1559" w:type="dxa"/>
            <w:vMerge/>
          </w:tcPr>
          <w:p w14:paraId="0CFC60F1" w14:textId="77777777" w:rsidR="001E20AF" w:rsidRPr="004177BE" w:rsidRDefault="001E20AF" w:rsidP="00EC779A">
            <w:pPr>
              <w:spacing w:before="0" w:after="0"/>
              <w:jc w:val="center"/>
              <w:rPr>
                <w:rFonts w:eastAsia="Calibri" w:cs="Tahoma"/>
                <w:szCs w:val="20"/>
              </w:rPr>
            </w:pPr>
          </w:p>
        </w:tc>
      </w:tr>
      <w:tr w:rsidR="001E20AF" w:rsidRPr="004177BE" w14:paraId="69601892" w14:textId="77777777" w:rsidTr="007F359B">
        <w:tc>
          <w:tcPr>
            <w:tcW w:w="625" w:type="dxa"/>
          </w:tcPr>
          <w:p w14:paraId="60F0DE8A" w14:textId="77777777" w:rsidR="001E20AF" w:rsidRPr="004177BE" w:rsidRDefault="001E20AF" w:rsidP="004177BE">
            <w:pPr>
              <w:spacing w:before="0" w:after="0"/>
              <w:rPr>
                <w:rFonts w:eastAsia="Calibri" w:cs="Tahoma"/>
                <w:szCs w:val="20"/>
              </w:rPr>
            </w:pPr>
            <w:r w:rsidRPr="004177BE">
              <w:rPr>
                <w:rFonts w:eastAsia="Calibri" w:cs="Tahoma"/>
                <w:szCs w:val="20"/>
              </w:rPr>
              <w:t>19</w:t>
            </w:r>
          </w:p>
        </w:tc>
        <w:tc>
          <w:tcPr>
            <w:tcW w:w="6600" w:type="dxa"/>
            <w:gridSpan w:val="2"/>
          </w:tcPr>
          <w:p w14:paraId="13963FA8" w14:textId="0E4F5FEC" w:rsidR="001E20AF" w:rsidRPr="004177BE" w:rsidRDefault="001E20AF" w:rsidP="004177BE">
            <w:pPr>
              <w:tabs>
                <w:tab w:val="left" w:pos="1290"/>
              </w:tabs>
              <w:spacing w:before="0" w:after="0"/>
              <w:rPr>
                <w:rFonts w:eastAsia="Calibri" w:cs="Tahoma"/>
                <w:szCs w:val="20"/>
              </w:rPr>
            </w:pPr>
            <w:r w:rsidRPr="004177BE">
              <w:rPr>
                <w:rFonts w:eastAsia="Calibri" w:cs="Tahoma"/>
                <w:szCs w:val="20"/>
              </w:rPr>
              <w:t>Publishing, Printing</w:t>
            </w:r>
            <w:r w:rsidR="0004484E">
              <w:rPr>
                <w:rFonts w:eastAsia="Calibri" w:cs="Tahoma"/>
                <w:szCs w:val="20"/>
              </w:rPr>
              <w:t>,</w:t>
            </w:r>
            <w:r w:rsidRPr="004177BE">
              <w:rPr>
                <w:rFonts w:eastAsia="Calibri" w:cs="Tahoma"/>
                <w:szCs w:val="20"/>
              </w:rPr>
              <w:t xml:space="preserve"> and Distribution</w:t>
            </w:r>
          </w:p>
        </w:tc>
        <w:tc>
          <w:tcPr>
            <w:tcW w:w="1559" w:type="dxa"/>
          </w:tcPr>
          <w:p w14:paraId="0614DC9D" w14:textId="77777777" w:rsidR="001E20AF" w:rsidRPr="004177BE" w:rsidRDefault="001E20AF" w:rsidP="00EC779A">
            <w:pPr>
              <w:spacing w:before="0" w:after="0"/>
              <w:jc w:val="center"/>
              <w:rPr>
                <w:rFonts w:eastAsia="Calibri" w:cs="Tahoma"/>
                <w:szCs w:val="20"/>
              </w:rPr>
            </w:pPr>
            <w:r w:rsidRPr="004177BE">
              <w:rPr>
                <w:rFonts w:eastAsia="Calibri" w:cs="Tahoma"/>
                <w:szCs w:val="20"/>
              </w:rPr>
              <w:t>September</w:t>
            </w:r>
          </w:p>
        </w:tc>
      </w:tr>
    </w:tbl>
    <w:p w14:paraId="6B65A058" w14:textId="32BD6F49" w:rsidR="00C96874" w:rsidRPr="006A26AA" w:rsidRDefault="005259DF" w:rsidP="0004484E">
      <w:pPr>
        <w:pStyle w:val="NumberedPara"/>
        <w:tabs>
          <w:tab w:val="clear" w:pos="2127"/>
        </w:tabs>
        <w:ind w:left="567"/>
      </w:pPr>
      <w:r>
        <w:t xml:space="preserve">The full budget preparation calendar for the 2024 budget is presented in section </w:t>
      </w:r>
      <w:r>
        <w:fldChar w:fldCharType="begin"/>
      </w:r>
      <w:r>
        <w:instrText xml:space="preserve"> REF _Ref138234256 \r \h </w:instrText>
      </w:r>
      <w:r>
        <w:fldChar w:fldCharType="separate"/>
      </w:r>
      <w:proofErr w:type="gramStart"/>
      <w:r>
        <w:t>1.B.</w:t>
      </w:r>
      <w:proofErr w:type="gramEnd"/>
      <w:r>
        <w:t>2</w:t>
      </w:r>
      <w:r>
        <w:fldChar w:fldCharType="end"/>
      </w:r>
      <w:r>
        <w:t xml:space="preserve">. </w:t>
      </w:r>
    </w:p>
    <w:p w14:paraId="34C54588" w14:textId="77777777" w:rsidR="00C96874" w:rsidRDefault="00C96874" w:rsidP="00C96874">
      <w:pPr>
        <w:pStyle w:val="Heading3"/>
      </w:pPr>
      <w:bookmarkStart w:id="22" w:name="_Toc106568602"/>
      <w:bookmarkStart w:id="23" w:name="_Toc143179769"/>
      <w:r>
        <w:t>Summary of Document Content</w:t>
      </w:r>
      <w:bookmarkEnd w:id="15"/>
      <w:bookmarkEnd w:id="22"/>
      <w:bookmarkEnd w:id="23"/>
    </w:p>
    <w:p w14:paraId="0F094C19" w14:textId="1E52E5B1" w:rsidR="00C96874" w:rsidRPr="00EF18D7" w:rsidRDefault="00C96874" w:rsidP="0004484E">
      <w:pPr>
        <w:pStyle w:val="NumberedPara"/>
        <w:tabs>
          <w:tab w:val="clear" w:pos="2127"/>
        </w:tabs>
        <w:ind w:left="567"/>
      </w:pPr>
      <w:r>
        <w:t>In accordance with international best practice</w:t>
      </w:r>
      <w:r w:rsidR="00BC6518">
        <w:t>s</w:t>
      </w:r>
      <w:r>
        <w:t xml:space="preserve"> in budgeting, the production of a combined Economic and Fiscal Update (EFU), Fiscal Strategy Paper (FSP)</w:t>
      </w:r>
      <w:r w:rsidR="000343FE">
        <w:t>,</w:t>
      </w:r>
      <w:r>
        <w:t xml:space="preserve"> and Budget Policy Statement (BPS) is the first step in the budget preparation cycle for Kaduna State Government (KDSG) for the period 202</w:t>
      </w:r>
      <w:r w:rsidR="00040629">
        <w:t>4</w:t>
      </w:r>
      <w:r>
        <w:t xml:space="preserve"> </w:t>
      </w:r>
      <w:r w:rsidR="00C117E3">
        <w:t>–</w:t>
      </w:r>
      <w:r>
        <w:t xml:space="preserve"> 202</w:t>
      </w:r>
      <w:r w:rsidR="00040629">
        <w:t>6</w:t>
      </w:r>
      <w:r w:rsidR="00C117E3">
        <w:t>.</w:t>
      </w:r>
    </w:p>
    <w:p w14:paraId="72B91ED0" w14:textId="77777777" w:rsidR="00C96874" w:rsidRPr="00EF18D7" w:rsidRDefault="00C96874" w:rsidP="0004484E">
      <w:pPr>
        <w:pStyle w:val="NumberedPara"/>
        <w:tabs>
          <w:tab w:val="clear" w:pos="2127"/>
          <w:tab w:val="num" w:pos="1843"/>
        </w:tabs>
        <w:ind w:left="567"/>
      </w:pPr>
      <w:r>
        <w:t>The purpose of this document is three-fold:</w:t>
      </w:r>
    </w:p>
    <w:p w14:paraId="42E0198F" w14:textId="5D78D1E2" w:rsidR="00C96874" w:rsidRPr="00EF18D7" w:rsidRDefault="00C96874" w:rsidP="00C96874">
      <w:pPr>
        <w:pStyle w:val="NumberedBullet"/>
        <w:numPr>
          <w:ilvl w:val="0"/>
          <w:numId w:val="10"/>
        </w:numPr>
      </w:pPr>
      <w:r>
        <w:t xml:space="preserve">To provide a </w:t>
      </w:r>
      <w:r w:rsidR="0004484E">
        <w:t>backward-looking</w:t>
      </w:r>
      <w:r>
        <w:t xml:space="preserve"> summary of key economic and fiscal trends that will affect public expenditure in the future - Economic and Fiscal </w:t>
      </w:r>
      <w:r w:rsidR="00C117E3">
        <w:t>Update.</w:t>
      </w:r>
      <w:r>
        <w:t xml:space="preserve"> </w:t>
      </w:r>
    </w:p>
    <w:p w14:paraId="2A415080" w14:textId="7F18A2B0" w:rsidR="00C96874" w:rsidRDefault="00C96874" w:rsidP="00236C38">
      <w:pPr>
        <w:pStyle w:val="NumberedBullet"/>
        <w:jc w:val="both"/>
      </w:pPr>
      <w:r>
        <w:t xml:space="preserve">To set out </w:t>
      </w:r>
      <w:r w:rsidRPr="00A735A4">
        <w:t>medium</w:t>
      </w:r>
      <w:r w:rsidR="00BC6518">
        <w:t>-</w:t>
      </w:r>
      <w:r w:rsidRPr="00A735A4">
        <w:t>term fiscal obje</w:t>
      </w:r>
      <w:r>
        <w:t>ctives and targets, including</w:t>
      </w:r>
      <w:r w:rsidRPr="00A735A4">
        <w:t xml:space="preserve"> tax policy; revenue mobili</w:t>
      </w:r>
      <w:r w:rsidR="00236C38">
        <w:t>z</w:t>
      </w:r>
      <w:r w:rsidRPr="00A735A4">
        <w:t>ation; level of public expenditure; deficit financing</w:t>
      </w:r>
      <w:r w:rsidR="0004484E">
        <w:t>,</w:t>
      </w:r>
      <w:r w:rsidRPr="00A735A4">
        <w:t xml:space="preserve"> and public debt</w:t>
      </w:r>
      <w:r>
        <w:t xml:space="preserve"> - Fiscal Strategy Paper and MTFF; and</w:t>
      </w:r>
    </w:p>
    <w:p w14:paraId="26BA1844" w14:textId="234653EB" w:rsidR="00C96874" w:rsidRPr="00EF18D7" w:rsidRDefault="00C96874" w:rsidP="00236C38">
      <w:pPr>
        <w:pStyle w:val="NumberedBullet"/>
        <w:jc w:val="both"/>
      </w:pPr>
      <w:r>
        <w:t>Provide indicative sector envelopes for the period 202</w:t>
      </w:r>
      <w:r w:rsidR="00040629">
        <w:t>4</w:t>
      </w:r>
      <w:r>
        <w:t>-202</w:t>
      </w:r>
      <w:r w:rsidR="00040629">
        <w:t>6</w:t>
      </w:r>
      <w:r>
        <w:t xml:space="preserve"> which constitute the MTBF. </w:t>
      </w:r>
    </w:p>
    <w:p w14:paraId="4C41B368" w14:textId="57D9A363" w:rsidR="00C96874" w:rsidRPr="00A735A4" w:rsidRDefault="00C96874" w:rsidP="0004484E">
      <w:pPr>
        <w:pStyle w:val="NumberedPara"/>
        <w:tabs>
          <w:tab w:val="clear" w:pos="2127"/>
        </w:tabs>
        <w:ind w:left="567"/>
      </w:pPr>
      <w:r>
        <w:t xml:space="preserve">The EFU is presented in Section 2 of this document.  The EFU </w:t>
      </w:r>
      <w:r w:rsidRPr="005756DF">
        <w:t xml:space="preserve">provides economic and fiscal analysis </w:t>
      </w:r>
      <w:r w:rsidR="00C117E3" w:rsidRPr="005756DF">
        <w:t>to</w:t>
      </w:r>
      <w:r w:rsidRPr="005756DF">
        <w:t xml:space="preserve"> inform the budget planning process.  It is aimed primarily at budget policymakers and </w:t>
      </w:r>
      <w:r w:rsidR="0004484E">
        <w:t>decision-makers</w:t>
      </w:r>
      <w:r w:rsidRPr="005756DF">
        <w:t xml:space="preserve"> in </w:t>
      </w:r>
      <w:r>
        <w:t>Kaduna</w:t>
      </w:r>
      <w:r w:rsidRPr="005756DF">
        <w:t xml:space="preserve"> State.  The EFU also provides an assessment of budget performance (both historical and current) and identifies significant factors affecting implementation.</w:t>
      </w:r>
      <w:r>
        <w:t xml:space="preserve"> It includes:</w:t>
      </w:r>
    </w:p>
    <w:p w14:paraId="0F8C7A4C" w14:textId="659FDFD6" w:rsidR="00C96874" w:rsidRPr="00A735A4" w:rsidRDefault="00C96874" w:rsidP="00C96874">
      <w:pPr>
        <w:pStyle w:val="Bullet"/>
      </w:pPr>
      <w:r>
        <w:t>Overview of Global,</w:t>
      </w:r>
      <w:r w:rsidR="00C340F4">
        <w:t xml:space="preserve"> Regional,</w:t>
      </w:r>
      <w:r>
        <w:t xml:space="preserve"> National</w:t>
      </w:r>
      <w:r w:rsidR="0004484E">
        <w:t>,</w:t>
      </w:r>
      <w:r>
        <w:t xml:space="preserve"> and State Economic </w:t>
      </w:r>
      <w:r w:rsidR="00C117E3">
        <w:t>Performance.</w:t>
      </w:r>
    </w:p>
    <w:p w14:paraId="1B3C5D19" w14:textId="7D3B5E8E" w:rsidR="00C96874" w:rsidRPr="00A735A4" w:rsidRDefault="00C96874" w:rsidP="00C96874">
      <w:pPr>
        <w:pStyle w:val="Bullet"/>
      </w:pPr>
      <w:r>
        <w:t xml:space="preserve">Overview of the Petroleum </w:t>
      </w:r>
      <w:r w:rsidR="00C117E3">
        <w:t>Sector.</w:t>
      </w:r>
    </w:p>
    <w:p w14:paraId="75CC575A" w14:textId="1BEFB3AF" w:rsidR="00C96874" w:rsidRPr="00A735A4" w:rsidRDefault="00C96874" w:rsidP="00C96874">
      <w:pPr>
        <w:pStyle w:val="Bullet"/>
      </w:pPr>
      <w:r>
        <w:t xml:space="preserve">Trends in </w:t>
      </w:r>
      <w:r w:rsidR="00C340F4">
        <w:t>B</w:t>
      </w:r>
      <w:r>
        <w:t xml:space="preserve">udget </w:t>
      </w:r>
      <w:r w:rsidR="00C340F4">
        <w:t>P</w:t>
      </w:r>
      <w:r>
        <w:t>erformance over the last six years.</w:t>
      </w:r>
    </w:p>
    <w:p w14:paraId="3B401EA4" w14:textId="624BE9EE" w:rsidR="00C96874" w:rsidRPr="00A735A4" w:rsidRDefault="00C96874" w:rsidP="0004484E">
      <w:pPr>
        <w:pStyle w:val="NumberedPara"/>
        <w:tabs>
          <w:tab w:val="clear" w:pos="2127"/>
          <w:tab w:val="num" w:pos="1560"/>
        </w:tabs>
        <w:ind w:left="567"/>
      </w:pPr>
      <w:r w:rsidRPr="00A735A4">
        <w:t>The FSP is a key element in</w:t>
      </w:r>
      <w:r w:rsidRPr="0030297E">
        <w:t xml:space="preserve"> KDSG Medium</w:t>
      </w:r>
      <w:r w:rsidRPr="00A735A4">
        <w:t xml:space="preserve"> Term </w:t>
      </w:r>
      <w:r>
        <w:t>Expenditure Framework (MTE</w:t>
      </w:r>
      <w:r w:rsidRPr="00A735A4">
        <w:t>F)</w:t>
      </w:r>
      <w:r>
        <w:t xml:space="preserve"> process</w:t>
      </w:r>
      <w:r w:rsidRPr="00A735A4">
        <w:t xml:space="preserve"> and annual budget process</w:t>
      </w:r>
      <w:r w:rsidR="00C340F4">
        <w:t>,</w:t>
      </w:r>
      <w:r w:rsidRPr="00A735A4">
        <w:t xml:space="preserve"> </w:t>
      </w:r>
      <w:r w:rsidR="00C340F4">
        <w:t>a</w:t>
      </w:r>
      <w:r w:rsidRPr="00A735A4">
        <w:t xml:space="preserve">s such, it determines the resources available to fund the </w:t>
      </w:r>
      <w:r w:rsidRPr="00A735A4">
        <w:lastRenderedPageBreak/>
        <w:t>Government’s growth and poverty reduction programme from a fi</w:t>
      </w:r>
      <w:r>
        <w:t>scally sustainable perspective.</w:t>
      </w:r>
    </w:p>
    <w:p w14:paraId="25E458AA" w14:textId="77777777" w:rsidR="00C96874" w:rsidRDefault="00C96874" w:rsidP="00C96874">
      <w:pPr>
        <w:pStyle w:val="Heading3"/>
      </w:pPr>
      <w:bookmarkStart w:id="24" w:name="_Toc340053631"/>
      <w:bookmarkStart w:id="25" w:name="_Toc106568603"/>
      <w:bookmarkStart w:id="26" w:name="_Toc143179770"/>
      <w:r>
        <w:t xml:space="preserve">Preparation and </w:t>
      </w:r>
      <w:r w:rsidRPr="005756DF">
        <w:t>Audience</w:t>
      </w:r>
      <w:bookmarkEnd w:id="24"/>
      <w:bookmarkEnd w:id="25"/>
      <w:bookmarkEnd w:id="26"/>
      <w:r w:rsidRPr="005756DF">
        <w:t xml:space="preserve"> </w:t>
      </w:r>
    </w:p>
    <w:p w14:paraId="442A387D" w14:textId="4A788FF9" w:rsidR="00C96874" w:rsidRPr="005756DF" w:rsidRDefault="00C96874" w:rsidP="00397592">
      <w:pPr>
        <w:pStyle w:val="NumberedPara"/>
        <w:tabs>
          <w:tab w:val="clear" w:pos="2127"/>
          <w:tab w:val="num" w:pos="1985"/>
        </w:tabs>
        <w:ind w:left="567"/>
      </w:pPr>
      <w:r>
        <w:t>The purpose of this document is to provide an informed basis for the 202</w:t>
      </w:r>
      <w:r w:rsidR="00040629">
        <w:t>4</w:t>
      </w:r>
      <w:r>
        <w:t>-202</w:t>
      </w:r>
      <w:r w:rsidR="00040629">
        <w:t>6</w:t>
      </w:r>
      <w:r>
        <w:t xml:space="preserve"> </w:t>
      </w:r>
      <w:r w:rsidR="00C340F4">
        <w:t>B</w:t>
      </w:r>
      <w:r>
        <w:t xml:space="preserve">udget </w:t>
      </w:r>
      <w:r w:rsidR="00C340F4">
        <w:t>P</w:t>
      </w:r>
      <w:r>
        <w:t xml:space="preserve">reparation </w:t>
      </w:r>
      <w:r w:rsidR="00C340F4">
        <w:t>C</w:t>
      </w:r>
      <w:r>
        <w:t xml:space="preserve">ycle for </w:t>
      </w:r>
      <w:r w:rsidR="007676D8">
        <w:t>all</w:t>
      </w:r>
      <w:r>
        <w:t xml:space="preserve"> the key Stakeholders, specifically:</w:t>
      </w:r>
    </w:p>
    <w:p w14:paraId="22C5FF3C" w14:textId="28BF61DE" w:rsidR="00C96874" w:rsidRPr="005756DF" w:rsidRDefault="00C96874" w:rsidP="00C96874">
      <w:pPr>
        <w:pStyle w:val="Bullet"/>
      </w:pPr>
      <w:r>
        <w:t>State House of Assembly (SHoA</w:t>
      </w:r>
      <w:r w:rsidR="007676D8">
        <w:t>).</w:t>
      </w:r>
      <w:r>
        <w:t xml:space="preserve"> </w:t>
      </w:r>
    </w:p>
    <w:p w14:paraId="20DD62E3" w14:textId="06064D59" w:rsidR="00C96874" w:rsidRPr="005756DF" w:rsidRDefault="00C96874" w:rsidP="00C96874">
      <w:pPr>
        <w:pStyle w:val="Bullet"/>
      </w:pPr>
      <w:r>
        <w:t>Executive Council (</w:t>
      </w:r>
      <w:proofErr w:type="spellStart"/>
      <w:r>
        <w:t>ExCo</w:t>
      </w:r>
      <w:proofErr w:type="spellEnd"/>
      <w:r>
        <w:t>)</w:t>
      </w:r>
      <w:r w:rsidR="007676D8">
        <w:t>.</w:t>
      </w:r>
      <w:r>
        <w:t xml:space="preserve"> </w:t>
      </w:r>
    </w:p>
    <w:p w14:paraId="682759E1" w14:textId="763295C2" w:rsidR="00C96874" w:rsidRPr="0030297E" w:rsidRDefault="00C96874" w:rsidP="00C96874">
      <w:pPr>
        <w:pStyle w:val="Bullet"/>
      </w:pPr>
      <w:r w:rsidRPr="0030297E">
        <w:t xml:space="preserve">Planning and Budget </w:t>
      </w:r>
      <w:r w:rsidR="007676D8" w:rsidRPr="0030297E">
        <w:t>Commission.</w:t>
      </w:r>
    </w:p>
    <w:p w14:paraId="48B00E84" w14:textId="083DF2B0" w:rsidR="00C96874" w:rsidRDefault="00C96874" w:rsidP="00C96874">
      <w:pPr>
        <w:pStyle w:val="Bullet"/>
      </w:pPr>
      <w:r>
        <w:t>Ministry of Finance (including Office of the Accountant General (OAG) and Debt Management Department (DMD</w:t>
      </w:r>
      <w:r w:rsidR="007676D8">
        <w:t>).</w:t>
      </w:r>
      <w:r>
        <w:t xml:space="preserve"> </w:t>
      </w:r>
    </w:p>
    <w:p w14:paraId="2529A882" w14:textId="2826D554" w:rsidR="00C96874" w:rsidRPr="005756DF" w:rsidRDefault="00C96874" w:rsidP="00C96874">
      <w:pPr>
        <w:pStyle w:val="Bullet"/>
      </w:pPr>
      <w:r>
        <w:t>Kaduna Internal Revenue Service (KADIRS)</w:t>
      </w:r>
      <w:r w:rsidR="007676D8">
        <w:t>.</w:t>
      </w:r>
    </w:p>
    <w:p w14:paraId="4A3252CD" w14:textId="521D145D" w:rsidR="00C96874" w:rsidRPr="005756DF" w:rsidRDefault="00C96874" w:rsidP="00C96874">
      <w:pPr>
        <w:pStyle w:val="Bullet"/>
      </w:pPr>
      <w:r>
        <w:t>All Government Ministries, Departments and Agencies (MDAs)</w:t>
      </w:r>
      <w:r w:rsidR="007676D8">
        <w:t>.</w:t>
      </w:r>
      <w:r>
        <w:t xml:space="preserve"> </w:t>
      </w:r>
    </w:p>
    <w:p w14:paraId="079F5892" w14:textId="77777777" w:rsidR="00C96874" w:rsidRPr="005756DF" w:rsidRDefault="00C96874" w:rsidP="00C96874">
      <w:pPr>
        <w:pStyle w:val="Bullet"/>
      </w:pPr>
      <w:r>
        <w:t>Civil Society.</w:t>
      </w:r>
    </w:p>
    <w:p w14:paraId="07158134" w14:textId="6E71B317" w:rsidR="00C96874" w:rsidRPr="005756DF" w:rsidRDefault="00C96874" w:rsidP="00397592">
      <w:pPr>
        <w:pStyle w:val="NumberedPara"/>
        <w:tabs>
          <w:tab w:val="clear" w:pos="2127"/>
        </w:tabs>
        <w:ind w:left="567"/>
      </w:pPr>
      <w:r>
        <w:t xml:space="preserve">The document is prepared within the first two quarters of the year prior to the annual budget preparation period.  It is prepared by </w:t>
      </w:r>
      <w:r w:rsidR="00236C38">
        <w:t xml:space="preserve">the </w:t>
      </w:r>
      <w:r>
        <w:t>Kaduna State Government MTEF Working Group using data collected from International, National</w:t>
      </w:r>
      <w:r w:rsidR="00397592">
        <w:t>,</w:t>
      </w:r>
      <w:r>
        <w:t xml:space="preserve"> and State Organisations. </w:t>
      </w:r>
    </w:p>
    <w:p w14:paraId="5F0A6927" w14:textId="77777777" w:rsidR="00C96874" w:rsidRPr="005756DF" w:rsidRDefault="00C96874" w:rsidP="00C96874">
      <w:pPr>
        <w:pStyle w:val="Heading2"/>
      </w:pPr>
      <w:bookmarkStart w:id="27" w:name="_Toc340053632"/>
      <w:bookmarkStart w:id="28" w:name="_Toc14448423"/>
      <w:bookmarkStart w:id="29" w:name="_Toc106568604"/>
      <w:bookmarkStart w:id="30" w:name="_Toc143179771"/>
      <w:r>
        <w:t>Background</w:t>
      </w:r>
      <w:bookmarkEnd w:id="27"/>
      <w:bookmarkEnd w:id="28"/>
      <w:bookmarkEnd w:id="29"/>
      <w:bookmarkEnd w:id="30"/>
    </w:p>
    <w:p w14:paraId="2D70DF07" w14:textId="77777777" w:rsidR="00C96874" w:rsidRDefault="00C96874" w:rsidP="00C96874">
      <w:pPr>
        <w:pStyle w:val="Heading3"/>
      </w:pPr>
      <w:bookmarkStart w:id="31" w:name="_Toc340045245"/>
      <w:bookmarkStart w:id="32" w:name="_Toc340053633"/>
      <w:bookmarkStart w:id="33" w:name="_Toc106568605"/>
      <w:bookmarkStart w:id="34" w:name="_Toc143179772"/>
      <w:bookmarkStart w:id="35" w:name="_Toc340045244"/>
      <w:r>
        <w:t>Legislative and Institutional arrangement for PFM</w:t>
      </w:r>
      <w:bookmarkEnd w:id="31"/>
      <w:bookmarkEnd w:id="32"/>
      <w:bookmarkEnd w:id="33"/>
      <w:bookmarkEnd w:id="34"/>
    </w:p>
    <w:p w14:paraId="5E28CB8F" w14:textId="52AF242C" w:rsidR="00C96874" w:rsidRPr="0030297E" w:rsidRDefault="00C96874" w:rsidP="003B7FCB">
      <w:pPr>
        <w:pStyle w:val="NumberedPara"/>
        <w:tabs>
          <w:tab w:val="clear" w:pos="2127"/>
          <w:tab w:val="num" w:pos="1843"/>
        </w:tabs>
        <w:ind w:left="567"/>
      </w:pPr>
      <w:r>
        <w:t>The 1999 C</w:t>
      </w:r>
      <w:r w:rsidRPr="0030297E">
        <w:t xml:space="preserve">onstitution as amended is the overriding law governing PFM in Kaduna State and indeed Nigeria. Its provisions supersede and override the content of any other law or provision in the </w:t>
      </w:r>
      <w:r w:rsidR="00B10C83">
        <w:t>S</w:t>
      </w:r>
      <w:r w:rsidRPr="0030297E">
        <w:t xml:space="preserve">tates to the extent that other laws are inconsistent with the </w:t>
      </w:r>
      <w:r w:rsidR="00B10C83">
        <w:t>C</w:t>
      </w:r>
      <w:r w:rsidRPr="0030297E">
        <w:t>onstitution. The other PFM</w:t>
      </w:r>
      <w:r w:rsidR="00236C38">
        <w:t>-</w:t>
      </w:r>
      <w:r w:rsidRPr="0030297E">
        <w:t>related laws and provisions elaborate and exp</w:t>
      </w:r>
      <w:r>
        <w:t>and on the provision of the C</w:t>
      </w:r>
      <w:r w:rsidRPr="0030297E">
        <w:t>onstitution</w:t>
      </w:r>
      <w:r>
        <w:t>.</w:t>
      </w:r>
    </w:p>
    <w:p w14:paraId="5E1619BE" w14:textId="2FDB3B76" w:rsidR="00C96874" w:rsidRPr="0030297E" w:rsidRDefault="00C96874" w:rsidP="003B7FCB">
      <w:pPr>
        <w:pStyle w:val="NumberedPara"/>
        <w:tabs>
          <w:tab w:val="clear" w:pos="2127"/>
          <w:tab w:val="num" w:pos="1843"/>
        </w:tabs>
        <w:ind w:left="567"/>
      </w:pPr>
      <w:r w:rsidRPr="0030297E">
        <w:t xml:space="preserve">These include the State's Fiscal Responsibility Law 2016, the Public Procurement Law 2016, Tax Consolidation and Codification Law </w:t>
      </w:r>
      <w:r w:rsidR="005C55E8">
        <w:t xml:space="preserve">2020, </w:t>
      </w:r>
      <w:r w:rsidRPr="0030297E">
        <w:t>and the Public Financial Management Control Law in 2016.</w:t>
      </w:r>
    </w:p>
    <w:p w14:paraId="10E68457" w14:textId="375476F1" w:rsidR="00C96874" w:rsidRPr="0030297E" w:rsidRDefault="00C96874" w:rsidP="003B7FCB">
      <w:pPr>
        <w:pStyle w:val="NumberedPara"/>
        <w:tabs>
          <w:tab w:val="clear" w:pos="2127"/>
          <w:tab w:val="num" w:pos="1843"/>
        </w:tabs>
        <w:ind w:left="567"/>
      </w:pPr>
      <w:r w:rsidRPr="0030297E">
        <w:t>The Fiscal Responsibility Law (FRL) provides for</w:t>
      </w:r>
      <w:r w:rsidR="00236C38">
        <w:t xml:space="preserve"> </w:t>
      </w:r>
      <w:r w:rsidRPr="0030297E">
        <w:t>prudent public expenditure, financial management</w:t>
      </w:r>
      <w:r w:rsidR="00397592">
        <w:t>,</w:t>
      </w:r>
      <w:r w:rsidRPr="0030297E">
        <w:t xml:space="preserve"> and discipline with a view to ensuring</w:t>
      </w:r>
      <w:r w:rsidR="00236C38">
        <w:t xml:space="preserve"> </w:t>
      </w:r>
      <w:r w:rsidRPr="0030297E">
        <w:t xml:space="preserve">long-term macroeconomic stability in Kaduna State. The FRL stipulates </w:t>
      </w:r>
      <w:r w:rsidR="005C55E8">
        <w:t>the</w:t>
      </w:r>
      <w:r w:rsidRPr="0030297E">
        <w:t xml:space="preserve"> preparation of a Zero-Based/Multi</w:t>
      </w:r>
      <w:r w:rsidR="00236C38">
        <w:t>-</w:t>
      </w:r>
      <w:r w:rsidRPr="0030297E">
        <w:t>Year Budget, MTEF, Budget Execution and Public Revenues and Management of State Enterprises.</w:t>
      </w:r>
    </w:p>
    <w:p w14:paraId="766FA9CF" w14:textId="2263EC6C" w:rsidR="00C96874" w:rsidRPr="0030297E" w:rsidRDefault="00C96874" w:rsidP="003B7FCB">
      <w:pPr>
        <w:pStyle w:val="NumberedPara"/>
        <w:tabs>
          <w:tab w:val="clear" w:pos="2127"/>
          <w:tab w:val="num" w:pos="1843"/>
        </w:tabs>
        <w:ind w:left="567"/>
      </w:pPr>
      <w:r w:rsidRPr="0030297E">
        <w:t xml:space="preserve">The Public Procurement </w:t>
      </w:r>
      <w:r w:rsidR="00B10C83">
        <w:t>L</w:t>
      </w:r>
      <w:r w:rsidRPr="0030297E">
        <w:t>aw stipulates that Ministries, Departments, Agencies, and/or controlled Corporations, Government Institutions</w:t>
      </w:r>
      <w:r w:rsidR="00397592">
        <w:t>,</w:t>
      </w:r>
      <w:r w:rsidRPr="0030297E">
        <w:t xml:space="preserve"> and Local Government Areas, shall subject to any exceptions as may be provided under this law be governed by </w:t>
      </w:r>
      <w:r w:rsidR="00397592">
        <w:t xml:space="preserve">the </w:t>
      </w:r>
      <w:r w:rsidRPr="0030297E">
        <w:t xml:space="preserve">promotion of competition, economy, </w:t>
      </w:r>
      <w:r w:rsidR="005C55E8" w:rsidRPr="0030297E">
        <w:t>efficiency,</w:t>
      </w:r>
      <w:r w:rsidRPr="0030297E">
        <w:t xml:space="preserve"> and equal opportunities. These are to all parties who are eligible and qualified to participate in public contracts and be devoid of discrimination among others.</w:t>
      </w:r>
    </w:p>
    <w:p w14:paraId="34D270D9" w14:textId="13C9B4C9" w:rsidR="00C96874" w:rsidRPr="0030297E" w:rsidRDefault="00C96874" w:rsidP="003B7FCB">
      <w:pPr>
        <w:pStyle w:val="NumberedPara"/>
        <w:tabs>
          <w:tab w:val="clear" w:pos="2127"/>
          <w:tab w:val="num" w:pos="1843"/>
        </w:tabs>
        <w:ind w:left="567"/>
      </w:pPr>
      <w:r w:rsidRPr="0030297E">
        <w:t>Institutional Framework for PFM in Kaduna State</w:t>
      </w:r>
      <w:r w:rsidR="005C55E8">
        <w:t>: In</w:t>
      </w:r>
      <w:r w:rsidRPr="0030297E">
        <w:t xml:space="preserve"> Kaduna State, sub-National Public Finance is managed by KDSG and the 23 Local Governments (LGs). The Executive headed by the State Governor, is responsible for the KDSG Budget, and reports on its execution to the Kaduna SHoA. </w:t>
      </w:r>
      <w:r w:rsidR="004E26D0">
        <w:t>In</w:t>
      </w:r>
      <w:r w:rsidRPr="0030297E">
        <w:t xml:space="preserve"> addition </w:t>
      </w:r>
      <w:r w:rsidR="004E26D0">
        <w:t>to</w:t>
      </w:r>
      <w:r w:rsidRPr="0030297E">
        <w:t xml:space="preserve"> the Institutional Framework is the creation of the Fiscal Responsibility Commission and the Public Procurement Authority</w:t>
      </w:r>
      <w:r>
        <w:t>, and the conversion of the former Ministry of Budget and Planning to the Planning and Budget Commission (PBC)</w:t>
      </w:r>
      <w:r w:rsidRPr="0030297E">
        <w:t>.</w:t>
      </w:r>
      <w:r>
        <w:t xml:space="preserve"> An Economic Intelligence Unit (EIU) has also been created under the PBC to provide analysis of </w:t>
      </w:r>
      <w:r w:rsidR="00236C38">
        <w:t xml:space="preserve">the </w:t>
      </w:r>
      <w:r>
        <w:t xml:space="preserve">latest economic and fiscal trends. </w:t>
      </w:r>
    </w:p>
    <w:p w14:paraId="083FF80C" w14:textId="77777777" w:rsidR="00C96874" w:rsidRDefault="00C96874" w:rsidP="00C96874">
      <w:pPr>
        <w:pStyle w:val="Heading3"/>
      </w:pPr>
      <w:bookmarkStart w:id="36" w:name="_Toc340053634"/>
      <w:bookmarkStart w:id="37" w:name="_Toc106568606"/>
      <w:bookmarkStart w:id="38" w:name="_Ref138234256"/>
      <w:bookmarkStart w:id="39" w:name="_Toc143179773"/>
      <w:r>
        <w:lastRenderedPageBreak/>
        <w:t xml:space="preserve">Overview of Budget </w:t>
      </w:r>
      <w:bookmarkEnd w:id="35"/>
      <w:bookmarkEnd w:id="36"/>
      <w:r>
        <w:t>Calendar</w:t>
      </w:r>
      <w:bookmarkEnd w:id="37"/>
      <w:bookmarkEnd w:id="38"/>
      <w:bookmarkEnd w:id="39"/>
    </w:p>
    <w:bookmarkEnd w:id="6"/>
    <w:p w14:paraId="191B9537" w14:textId="19C2FE8B" w:rsidR="00C96874" w:rsidRDefault="00C96874" w:rsidP="003B7FCB">
      <w:pPr>
        <w:pStyle w:val="NumberedPara"/>
        <w:tabs>
          <w:tab w:val="clear" w:pos="2127"/>
        </w:tabs>
        <w:ind w:left="567"/>
      </w:pPr>
      <w:r>
        <w:t xml:space="preserve">Indicative Budget Calendar for Kaduna State Government is presented below. The calendar provides detailed activities which serve as </w:t>
      </w:r>
      <w:r w:rsidR="00DD0179">
        <w:t xml:space="preserve">a </w:t>
      </w:r>
      <w:r>
        <w:t>guide in Budget preparation such that by the first week of July 20</w:t>
      </w:r>
      <w:r w:rsidR="00E8734E">
        <w:t>2</w:t>
      </w:r>
      <w:r w:rsidR="00040629">
        <w:t>3</w:t>
      </w:r>
      <w:r>
        <w:t xml:space="preserve">, the MTEF document is finalised.  </w:t>
      </w:r>
    </w:p>
    <w:p w14:paraId="523822F1" w14:textId="155CF5F1" w:rsidR="00C96874" w:rsidRPr="002E6BE5" w:rsidRDefault="00C96874" w:rsidP="00C96874">
      <w:pPr>
        <w:pStyle w:val="StyleCaptionCentered"/>
        <w:ind w:left="2160" w:firstLine="720"/>
        <w:jc w:val="left"/>
      </w:pPr>
      <w:bookmarkStart w:id="40" w:name="_Toc72918049"/>
      <w:bookmarkStart w:id="41" w:name="_Toc106568663"/>
      <w:bookmarkStart w:id="42" w:name="_Toc143179939"/>
      <w:r>
        <w:t xml:space="preserve">Table </w:t>
      </w:r>
      <w:r>
        <w:fldChar w:fldCharType="begin"/>
      </w:r>
      <w:r>
        <w:instrText xml:space="preserve"> SEQ Table \* ARABIC </w:instrText>
      </w:r>
      <w:r>
        <w:fldChar w:fldCharType="separate"/>
      </w:r>
      <w:r w:rsidR="00B76AD5">
        <w:rPr>
          <w:noProof/>
        </w:rPr>
        <w:t>2</w:t>
      </w:r>
      <w:r>
        <w:rPr>
          <w:noProof/>
        </w:rPr>
        <w:fldChar w:fldCharType="end"/>
      </w:r>
      <w:r>
        <w:t xml:space="preserve">: </w:t>
      </w:r>
      <w:r w:rsidR="00614626">
        <w:t>The 202</w:t>
      </w:r>
      <w:r w:rsidR="006D1175">
        <w:t>4</w:t>
      </w:r>
      <w:r w:rsidR="00614626">
        <w:t>-</w:t>
      </w:r>
      <w:r>
        <w:t>202</w:t>
      </w:r>
      <w:r w:rsidR="006D1175">
        <w:t>6</w:t>
      </w:r>
      <w:r>
        <w:t xml:space="preserve"> Budget</w:t>
      </w:r>
      <w:r w:rsidR="005259DF">
        <w:t xml:space="preserve"> Preparation</w:t>
      </w:r>
      <w:r>
        <w:t xml:space="preserve"> Calendar</w:t>
      </w:r>
      <w:bookmarkEnd w:id="40"/>
      <w:bookmarkEnd w:id="41"/>
      <w:bookmarkEnd w:id="42"/>
    </w:p>
    <w:tbl>
      <w:tblPr>
        <w:tblW w:w="9536" w:type="dxa"/>
        <w:tblInd w:w="-185" w:type="dxa"/>
        <w:tblLayout w:type="fixed"/>
        <w:tblCellMar>
          <w:left w:w="10" w:type="dxa"/>
          <w:right w:w="10" w:type="dxa"/>
        </w:tblCellMar>
        <w:tblLook w:val="0000" w:firstRow="0" w:lastRow="0" w:firstColumn="0" w:lastColumn="0" w:noHBand="0" w:noVBand="0"/>
      </w:tblPr>
      <w:tblGrid>
        <w:gridCol w:w="889"/>
        <w:gridCol w:w="1627"/>
        <w:gridCol w:w="5490"/>
        <w:gridCol w:w="1530"/>
      </w:tblGrid>
      <w:tr w:rsidR="004D0B40" w:rsidRPr="006D65EB" w14:paraId="3743C6BF" w14:textId="77777777" w:rsidTr="00E9600D">
        <w:trPr>
          <w:tblHeader/>
        </w:trPr>
        <w:tc>
          <w:tcPr>
            <w:tcW w:w="889" w:type="dxa"/>
            <w:tcBorders>
              <w:top w:val="single" w:sz="4" w:space="0" w:color="000000"/>
              <w:left w:val="single" w:sz="4" w:space="0" w:color="000000"/>
              <w:bottom w:val="single" w:sz="4" w:space="0" w:color="000000"/>
              <w:right w:val="single" w:sz="4" w:space="0" w:color="000000"/>
            </w:tcBorders>
            <w:shd w:val="clear" w:color="auto" w:fill="4472C4" w:themeFill="accent1"/>
            <w:tcMar>
              <w:top w:w="0" w:type="dxa"/>
              <w:left w:w="108" w:type="dxa"/>
              <w:bottom w:w="0" w:type="dxa"/>
              <w:right w:w="108" w:type="dxa"/>
            </w:tcMar>
            <w:vAlign w:val="center"/>
          </w:tcPr>
          <w:p w14:paraId="30F6ED3C" w14:textId="77777777" w:rsidR="004D0B40" w:rsidRPr="00E9600D" w:rsidRDefault="004D0B40" w:rsidP="00C87E11">
            <w:pPr>
              <w:ind w:left="-90"/>
              <w:rPr>
                <w:color w:val="FFFFFF" w:themeColor="background1"/>
                <w:lang w:val="en-US"/>
              </w:rPr>
            </w:pPr>
            <w:r w:rsidRPr="00E9600D">
              <w:rPr>
                <w:color w:val="FFFFFF" w:themeColor="background1"/>
                <w:lang w:val="en-US"/>
              </w:rPr>
              <w:t>S/No.</w:t>
            </w:r>
          </w:p>
        </w:tc>
        <w:tc>
          <w:tcPr>
            <w:tcW w:w="1627" w:type="dxa"/>
            <w:tcBorders>
              <w:top w:val="single" w:sz="4" w:space="0" w:color="000000"/>
              <w:left w:val="single" w:sz="4" w:space="0" w:color="000000"/>
              <w:bottom w:val="single" w:sz="4" w:space="0" w:color="000000"/>
              <w:right w:val="single" w:sz="4" w:space="0" w:color="000000"/>
            </w:tcBorders>
            <w:shd w:val="clear" w:color="auto" w:fill="4472C4" w:themeFill="accent1"/>
            <w:tcMar>
              <w:top w:w="0" w:type="dxa"/>
              <w:left w:w="108" w:type="dxa"/>
              <w:bottom w:w="0" w:type="dxa"/>
              <w:right w:w="108" w:type="dxa"/>
            </w:tcMar>
            <w:vAlign w:val="center"/>
          </w:tcPr>
          <w:p w14:paraId="0BF7E4CD" w14:textId="77777777" w:rsidR="004D0B40" w:rsidRPr="00E9600D" w:rsidRDefault="004D0B40" w:rsidP="004D0B40">
            <w:pPr>
              <w:ind w:left="-90"/>
              <w:rPr>
                <w:color w:val="FFFFFF" w:themeColor="background1"/>
              </w:rPr>
            </w:pPr>
            <w:r w:rsidRPr="00E9600D">
              <w:rPr>
                <w:color w:val="FFFFFF" w:themeColor="background1"/>
              </w:rPr>
              <w:t>Date</w:t>
            </w:r>
          </w:p>
        </w:tc>
        <w:tc>
          <w:tcPr>
            <w:tcW w:w="5490" w:type="dxa"/>
            <w:tcBorders>
              <w:top w:val="single" w:sz="4" w:space="0" w:color="000000"/>
              <w:left w:val="single" w:sz="4" w:space="0" w:color="000000"/>
              <w:bottom w:val="single" w:sz="4" w:space="0" w:color="000000"/>
              <w:right w:val="single" w:sz="4" w:space="0" w:color="000000"/>
            </w:tcBorders>
            <w:shd w:val="clear" w:color="auto" w:fill="4472C4" w:themeFill="accent1"/>
            <w:tcMar>
              <w:top w:w="0" w:type="dxa"/>
              <w:left w:w="108" w:type="dxa"/>
              <w:bottom w:w="0" w:type="dxa"/>
              <w:right w:w="108" w:type="dxa"/>
            </w:tcMar>
            <w:vAlign w:val="center"/>
          </w:tcPr>
          <w:p w14:paraId="40114352" w14:textId="77777777" w:rsidR="004D0B40" w:rsidRPr="00E9600D" w:rsidRDefault="004D0B40" w:rsidP="004D0B40">
            <w:pPr>
              <w:ind w:left="-90"/>
              <w:rPr>
                <w:color w:val="FFFFFF" w:themeColor="background1"/>
              </w:rPr>
            </w:pPr>
            <w:r w:rsidRPr="00E9600D">
              <w:rPr>
                <w:color w:val="FFFFFF" w:themeColor="background1"/>
              </w:rPr>
              <w:t>Activity and or Event</w:t>
            </w:r>
          </w:p>
        </w:tc>
        <w:tc>
          <w:tcPr>
            <w:tcW w:w="1530" w:type="dxa"/>
            <w:tcBorders>
              <w:top w:val="single" w:sz="4" w:space="0" w:color="000000"/>
              <w:left w:val="single" w:sz="4" w:space="0" w:color="000000"/>
              <w:bottom w:val="single" w:sz="4" w:space="0" w:color="000000"/>
              <w:right w:val="single" w:sz="4" w:space="0" w:color="000000"/>
            </w:tcBorders>
            <w:shd w:val="clear" w:color="auto" w:fill="4472C4" w:themeFill="accent1"/>
            <w:tcMar>
              <w:top w:w="0" w:type="dxa"/>
              <w:left w:w="108" w:type="dxa"/>
              <w:bottom w:w="0" w:type="dxa"/>
              <w:right w:w="108" w:type="dxa"/>
            </w:tcMar>
            <w:vAlign w:val="center"/>
          </w:tcPr>
          <w:p w14:paraId="71507920" w14:textId="77777777" w:rsidR="004D0B40" w:rsidRPr="00E9600D" w:rsidRDefault="004D0B40" w:rsidP="004D0B40">
            <w:pPr>
              <w:ind w:left="-90"/>
              <w:rPr>
                <w:color w:val="FFFFFF" w:themeColor="background1"/>
              </w:rPr>
            </w:pPr>
            <w:r w:rsidRPr="00E9600D">
              <w:rPr>
                <w:color w:val="FFFFFF" w:themeColor="background1"/>
              </w:rPr>
              <w:t>Executor</w:t>
            </w:r>
          </w:p>
        </w:tc>
      </w:tr>
      <w:tr w:rsidR="004D0B40" w:rsidRPr="006D65EB" w14:paraId="11997D9F"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C6C9F"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FE46E" w14:textId="77777777" w:rsidR="004D0B40" w:rsidRPr="004D0B40" w:rsidRDefault="004D0B40" w:rsidP="004D0B40">
            <w:pPr>
              <w:ind w:left="-90"/>
            </w:pPr>
            <w:r w:rsidRPr="004D0B40">
              <w:t>January - July, 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B338B" w14:textId="77777777" w:rsidR="004D0B40" w:rsidRPr="004D0B40" w:rsidRDefault="004D0B40" w:rsidP="004D0B40">
            <w:pPr>
              <w:ind w:left="-90"/>
            </w:pPr>
            <w:r w:rsidRPr="004D0B40">
              <w:t>Preparation of Medium-Term Expenditure Framework 2024 – 2026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51E54" w14:textId="77777777" w:rsidR="004D0B40" w:rsidRPr="004D0B40" w:rsidRDefault="004D0B40" w:rsidP="004D0B40">
            <w:pPr>
              <w:ind w:left="-90"/>
            </w:pPr>
            <w:r w:rsidRPr="004D0B40">
              <w:t>PBC</w:t>
            </w:r>
          </w:p>
        </w:tc>
      </w:tr>
      <w:tr w:rsidR="004D0B40" w:rsidRPr="006D65EB" w14:paraId="48878598"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4EF0A"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327E7" w14:textId="77777777" w:rsidR="004D0B40" w:rsidRPr="004D0B40" w:rsidRDefault="004D0B40" w:rsidP="004D0B40">
            <w:pPr>
              <w:ind w:left="-90"/>
            </w:pPr>
            <w:r w:rsidRPr="004D0B40">
              <w:t>7-9/02/2023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E9785" w14:textId="77777777" w:rsidR="004D0B40" w:rsidRPr="004D0B40" w:rsidRDefault="004D0B40" w:rsidP="004D0B40">
            <w:pPr>
              <w:ind w:left="-90"/>
            </w:pPr>
            <w:r w:rsidRPr="004D0B40">
              <w:t>In-house training for Budget Officers in preparation of Training Workshop on MDAs Budget Profiling and Cash Planning.</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7918C" w14:textId="77777777" w:rsidR="004D0B40" w:rsidRPr="004D0B40" w:rsidRDefault="004D0B40" w:rsidP="004D0B40">
            <w:pPr>
              <w:ind w:left="-90"/>
            </w:pPr>
            <w:r w:rsidRPr="004D0B40">
              <w:t>PBC</w:t>
            </w:r>
          </w:p>
        </w:tc>
      </w:tr>
      <w:tr w:rsidR="004D0B40" w:rsidRPr="006D65EB" w14:paraId="557E12DA"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CFAFA"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50BBA" w14:textId="77777777" w:rsidR="004D0B40" w:rsidRPr="004D0B40" w:rsidRDefault="004D0B40" w:rsidP="004D0B40">
            <w:pPr>
              <w:ind w:left="-90"/>
            </w:pPr>
            <w:r w:rsidRPr="004D0B40">
              <w:t>6-8/03/2023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FE6A5" w14:textId="77777777" w:rsidR="004D0B40" w:rsidRPr="004D0B40" w:rsidRDefault="004D0B40" w:rsidP="004D0B40">
            <w:pPr>
              <w:ind w:left="-90"/>
            </w:pPr>
            <w:r w:rsidRPr="004D0B40">
              <w:t>Refresher Training Workshop for Pilot MDAs on the Budget Profiling and Cash Planning Template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FF607" w14:textId="77777777" w:rsidR="004D0B40" w:rsidRPr="004D0B40" w:rsidRDefault="004D0B40" w:rsidP="004D0B40">
            <w:pPr>
              <w:ind w:left="-90"/>
            </w:pPr>
            <w:r w:rsidRPr="004D0B40">
              <w:t>PBC</w:t>
            </w:r>
          </w:p>
        </w:tc>
      </w:tr>
      <w:tr w:rsidR="004D0B40" w:rsidRPr="006D65EB" w14:paraId="2A0A7A93"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62AC2"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32E17" w14:textId="77777777" w:rsidR="004D0B40" w:rsidRPr="004D0B40" w:rsidRDefault="004D0B40" w:rsidP="004D0B40">
            <w:pPr>
              <w:ind w:left="-90"/>
            </w:pPr>
            <w:r w:rsidRPr="004D0B40">
              <w:t>11/04/2023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C0B7D" w14:textId="77777777" w:rsidR="004D0B40" w:rsidRPr="004D0B40" w:rsidRDefault="004D0B40" w:rsidP="004D0B40">
            <w:pPr>
              <w:ind w:left="-90"/>
            </w:pPr>
            <w:r w:rsidRPr="004D0B40">
              <w:t>Revenue Call Circular to MDAs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E179CE" w14:textId="77777777" w:rsidR="004D0B40" w:rsidRPr="004D0B40" w:rsidRDefault="004D0B40" w:rsidP="004D0B40">
            <w:pPr>
              <w:ind w:left="-90"/>
            </w:pPr>
            <w:r w:rsidRPr="004D0B40">
              <w:t>PBC</w:t>
            </w:r>
          </w:p>
        </w:tc>
      </w:tr>
      <w:tr w:rsidR="004D0B40" w:rsidRPr="006D65EB" w14:paraId="2737F604"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D2FB8"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C8946" w14:textId="77777777" w:rsidR="004D0B40" w:rsidRPr="004D0B40" w:rsidRDefault="004D0B40" w:rsidP="004D0B40">
            <w:pPr>
              <w:ind w:left="-90"/>
            </w:pPr>
            <w:r w:rsidRPr="004D0B40">
              <w:t>11/04/2023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B1DC4" w14:textId="77777777" w:rsidR="004D0B40" w:rsidRPr="004D0B40" w:rsidRDefault="004D0B40" w:rsidP="004D0B40">
            <w:pPr>
              <w:ind w:left="-90"/>
            </w:pPr>
            <w:r w:rsidRPr="004D0B40">
              <w:t>Forwarding of request for the Submissions of Citizens’ inputs of the Community Development Charter (CDC)</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1D227" w14:textId="77777777" w:rsidR="004D0B40" w:rsidRPr="004D0B40" w:rsidRDefault="004D0B40" w:rsidP="004D0B40">
            <w:pPr>
              <w:ind w:left="-90"/>
            </w:pPr>
            <w:r w:rsidRPr="004D0B40">
              <w:t>PBC</w:t>
            </w:r>
          </w:p>
        </w:tc>
      </w:tr>
      <w:tr w:rsidR="004D0B40" w:rsidRPr="006D65EB" w14:paraId="74A8D257"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5B4BF"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3CD32" w14:textId="77777777" w:rsidR="004D0B40" w:rsidRPr="004D0B40" w:rsidRDefault="004D0B40" w:rsidP="004D0B40">
            <w:pPr>
              <w:ind w:left="-90"/>
            </w:pPr>
            <w:r w:rsidRPr="004D0B40">
              <w:t>11/04/23 – 11/06/23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3A76C" w14:textId="77777777" w:rsidR="004D0B40" w:rsidRPr="004D0B40" w:rsidRDefault="004D0B40" w:rsidP="004D0B40">
            <w:pPr>
              <w:ind w:left="-90"/>
            </w:pPr>
            <w:r w:rsidRPr="004D0B40">
              <w:t>Review of Sector Implementation Plans (SIPs) against 2022 Budget Performance by Planning Department of the Planning and Budget Commission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A8CD0" w14:textId="77777777" w:rsidR="004D0B40" w:rsidRPr="004D0B40" w:rsidRDefault="004D0B40" w:rsidP="004D0B40">
            <w:pPr>
              <w:ind w:left="-90"/>
            </w:pPr>
            <w:r w:rsidRPr="004D0B40">
              <w:t xml:space="preserve">PBC </w:t>
            </w:r>
          </w:p>
        </w:tc>
      </w:tr>
      <w:tr w:rsidR="004D0B40" w:rsidRPr="006D65EB" w14:paraId="69400D5E"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A3816"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66DCC" w14:textId="77777777" w:rsidR="004D0B40" w:rsidRPr="004D0B40" w:rsidRDefault="004D0B40" w:rsidP="004D0B40">
            <w:pPr>
              <w:ind w:left="-90"/>
            </w:pPr>
            <w:r w:rsidRPr="004D0B40">
              <w:t>15/05/2023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F01BB" w14:textId="77777777" w:rsidR="004D0B40" w:rsidRPr="004D0B40" w:rsidRDefault="004D0B40" w:rsidP="004D0B40">
            <w:pPr>
              <w:ind w:left="-90"/>
            </w:pPr>
            <w:r w:rsidRPr="004D0B40">
              <w:t>Submission of Revenue proposals to Planning &amp; Budget Commission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21583" w14:textId="77777777" w:rsidR="004D0B40" w:rsidRPr="004D0B40" w:rsidRDefault="004D0B40" w:rsidP="004D0B40">
            <w:pPr>
              <w:ind w:left="-90"/>
            </w:pPr>
            <w:r w:rsidRPr="004D0B40">
              <w:t>MDAs</w:t>
            </w:r>
          </w:p>
        </w:tc>
      </w:tr>
      <w:tr w:rsidR="004D0B40" w:rsidRPr="006D65EB" w14:paraId="4B1086CC"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DB3A0"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0F138" w14:textId="77777777" w:rsidR="004D0B40" w:rsidRPr="004D0B40" w:rsidRDefault="004D0B40" w:rsidP="004D0B40">
            <w:pPr>
              <w:ind w:left="-90"/>
            </w:pPr>
            <w:r w:rsidRPr="004D0B40">
              <w:t>16/05/2023- 22/05/2023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2C0FD" w14:textId="77777777" w:rsidR="004D0B40" w:rsidRPr="004D0B40" w:rsidRDefault="004D0B40" w:rsidP="004D0B40">
            <w:pPr>
              <w:ind w:left="-90"/>
            </w:pPr>
            <w:r w:rsidRPr="004D0B40">
              <w:t>Analysis of Revenue Proposals submitted by MDAs to be used by Estimates Committee at Revenue Defence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2AD56" w14:textId="77777777" w:rsidR="004D0B40" w:rsidRPr="004D0B40" w:rsidRDefault="004D0B40" w:rsidP="004D0B40">
            <w:pPr>
              <w:ind w:left="-90"/>
            </w:pPr>
            <w:r w:rsidRPr="004D0B40">
              <w:t>PBC</w:t>
            </w:r>
          </w:p>
        </w:tc>
      </w:tr>
      <w:tr w:rsidR="004D0B40" w:rsidRPr="006D65EB" w14:paraId="2FB70189"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00FAF"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682AC" w14:textId="77777777" w:rsidR="004D0B40" w:rsidRPr="004D0B40" w:rsidRDefault="004D0B40" w:rsidP="004D0B40">
            <w:pPr>
              <w:ind w:left="-90"/>
            </w:pPr>
            <w:r w:rsidRPr="004D0B40">
              <w:t>19/07/2023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FA8A5" w14:textId="77777777" w:rsidR="004D0B40" w:rsidRPr="004D0B40" w:rsidRDefault="004D0B40" w:rsidP="004D0B40">
            <w:pPr>
              <w:ind w:left="-90"/>
            </w:pPr>
            <w:r w:rsidRPr="004D0B40">
              <w:t>Receipt of report of Citizens’ inputs from CDC.</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5A992" w14:textId="77777777" w:rsidR="004D0B40" w:rsidRPr="004D0B40" w:rsidRDefault="004D0B40" w:rsidP="004D0B40">
            <w:pPr>
              <w:ind w:left="-90"/>
            </w:pPr>
            <w:r w:rsidRPr="004D0B40">
              <w:t>PBC</w:t>
            </w:r>
          </w:p>
        </w:tc>
      </w:tr>
      <w:tr w:rsidR="004D0B40" w:rsidRPr="006D65EB" w14:paraId="4773DB59"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2A0CA"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F2BD1" w14:textId="77777777" w:rsidR="004D0B40" w:rsidRPr="004D0B40" w:rsidRDefault="004D0B40" w:rsidP="004D0B40">
            <w:pPr>
              <w:ind w:left="-90"/>
            </w:pPr>
            <w:r w:rsidRPr="004D0B40">
              <w:t>31/07/2023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0C0DF" w14:textId="77777777" w:rsidR="004D0B40" w:rsidRPr="004D0B40" w:rsidRDefault="004D0B40" w:rsidP="004D0B40">
            <w:pPr>
              <w:ind w:left="-90"/>
            </w:pPr>
            <w:r w:rsidRPr="004D0B40">
              <w:t>Expenditure Call Circulars to MDAs along with Citizens’ inputs from CDC</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423F2" w14:textId="77777777" w:rsidR="004D0B40" w:rsidRPr="004D0B40" w:rsidRDefault="004D0B40" w:rsidP="004D0B40">
            <w:pPr>
              <w:ind w:left="-90"/>
            </w:pPr>
            <w:r w:rsidRPr="004D0B40">
              <w:t>PBC</w:t>
            </w:r>
          </w:p>
        </w:tc>
      </w:tr>
      <w:tr w:rsidR="004D0B40" w:rsidRPr="006D65EB" w14:paraId="132AA773"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2B668"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C7BC9" w14:textId="77777777" w:rsidR="004D0B40" w:rsidRPr="004D0B40" w:rsidRDefault="004D0B40" w:rsidP="004D0B40">
            <w:pPr>
              <w:ind w:left="-90"/>
            </w:pPr>
            <w:r w:rsidRPr="004D0B40">
              <w:t>1-2/08/2023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F5BD37" w14:textId="77777777" w:rsidR="004D0B40" w:rsidRPr="004D0B40" w:rsidRDefault="004D0B40" w:rsidP="004D0B40">
            <w:pPr>
              <w:ind w:left="-90"/>
            </w:pPr>
            <w:r w:rsidRPr="004D0B40">
              <w:t>In-house training for Budget Officers in preparation for Refresher Training Workshop for MDAs on Multiyear Costing Template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8AFBC" w14:textId="77777777" w:rsidR="004D0B40" w:rsidRPr="004D0B40" w:rsidRDefault="004D0B40" w:rsidP="004D0B40">
            <w:pPr>
              <w:ind w:left="-90"/>
            </w:pPr>
            <w:r w:rsidRPr="004D0B40">
              <w:t>PBC</w:t>
            </w:r>
          </w:p>
        </w:tc>
      </w:tr>
      <w:tr w:rsidR="004D0B40" w:rsidRPr="006D65EB" w14:paraId="61575989"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6ACAF"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BA179" w14:textId="77777777" w:rsidR="004D0B40" w:rsidRPr="004D0B40" w:rsidRDefault="004D0B40" w:rsidP="004D0B40">
            <w:pPr>
              <w:ind w:left="-90"/>
            </w:pPr>
            <w:r w:rsidRPr="004D0B40">
              <w:t>7/08/2023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E6803" w14:textId="77777777" w:rsidR="004D0B40" w:rsidRPr="004D0B40" w:rsidRDefault="004D0B40" w:rsidP="004D0B40">
            <w:pPr>
              <w:ind w:left="-90"/>
            </w:pPr>
            <w:r w:rsidRPr="004D0B40">
              <w:t>Engagement with Private Sector, Women Groups and People Living with Disabilities on the MTEF.</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918C0" w14:textId="77777777" w:rsidR="004D0B40" w:rsidRPr="004D0B40" w:rsidRDefault="004D0B40" w:rsidP="004D0B40">
            <w:pPr>
              <w:ind w:left="-90"/>
            </w:pPr>
            <w:r w:rsidRPr="004D0B40">
              <w:t>PBC</w:t>
            </w:r>
          </w:p>
        </w:tc>
      </w:tr>
      <w:tr w:rsidR="004D0B40" w:rsidRPr="006D65EB" w14:paraId="47D62541"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2CA2A"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28E97" w14:textId="77777777" w:rsidR="004D0B40" w:rsidRPr="004D0B40" w:rsidRDefault="004D0B40" w:rsidP="004D0B40">
            <w:pPr>
              <w:ind w:left="-90"/>
            </w:pPr>
            <w:r w:rsidRPr="004D0B40">
              <w:t>8-11/08/2023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50EE6" w14:textId="77777777" w:rsidR="004D0B40" w:rsidRPr="004D0B40" w:rsidRDefault="004D0B40" w:rsidP="004D0B40">
            <w:pPr>
              <w:ind w:left="-90"/>
            </w:pPr>
            <w:r w:rsidRPr="004D0B40">
              <w:t>Review/Refresher Training Workshop for MDAs on Multiyear Costing Template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95170" w14:textId="77777777" w:rsidR="004D0B40" w:rsidRPr="004D0B40" w:rsidRDefault="004D0B40" w:rsidP="004D0B40">
            <w:pPr>
              <w:ind w:left="-90"/>
            </w:pPr>
            <w:r w:rsidRPr="004D0B40">
              <w:t>PBC</w:t>
            </w:r>
          </w:p>
        </w:tc>
      </w:tr>
      <w:tr w:rsidR="004D0B40" w:rsidRPr="006D65EB" w14:paraId="58D28D9D"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01A35"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A5D29" w14:textId="77777777" w:rsidR="004D0B40" w:rsidRPr="004D0B40" w:rsidRDefault="004D0B40" w:rsidP="004D0B40">
            <w:pPr>
              <w:ind w:left="-90"/>
            </w:pPr>
            <w:r w:rsidRPr="004D0B40">
              <w:t>16/08/2023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4DC1D" w14:textId="77777777" w:rsidR="004D0B40" w:rsidRPr="004D0B40" w:rsidRDefault="004D0B40" w:rsidP="004D0B40">
            <w:pPr>
              <w:ind w:left="-90"/>
            </w:pPr>
            <w:r w:rsidRPr="004D0B40">
              <w:t>Roundtable dialogue with the SHoA on draft 2024 -2026 Medium Term Expenditure Framework (MTEF)</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D25DE" w14:textId="77777777" w:rsidR="004D0B40" w:rsidRPr="004D0B40" w:rsidRDefault="004D0B40" w:rsidP="004D0B40">
            <w:pPr>
              <w:ind w:left="-90"/>
            </w:pPr>
            <w:r w:rsidRPr="004D0B40">
              <w:t>PBC</w:t>
            </w:r>
          </w:p>
        </w:tc>
      </w:tr>
      <w:tr w:rsidR="004D0B40" w:rsidRPr="006D65EB" w14:paraId="6BA40F10"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FA351"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927C1" w14:textId="77777777" w:rsidR="004D0B40" w:rsidRPr="004D0B40" w:rsidRDefault="004D0B40" w:rsidP="004D0B40">
            <w:pPr>
              <w:ind w:left="-90"/>
            </w:pPr>
            <w:r w:rsidRPr="004D0B40">
              <w:t>27/08/2023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6DBF9" w14:textId="77777777" w:rsidR="004D0B40" w:rsidRPr="004D0B40" w:rsidRDefault="004D0B40" w:rsidP="004D0B40">
            <w:pPr>
              <w:ind w:left="-90"/>
            </w:pPr>
            <w:r w:rsidRPr="004D0B40">
              <w:t xml:space="preserve">Review and Approval of the draft 2024 – 2026 Medium Term Expenditure Framework (MTEF) by SHoA.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1B687" w14:textId="77777777" w:rsidR="004D0B40" w:rsidRPr="004D0B40" w:rsidRDefault="004D0B40" w:rsidP="004D0B40">
            <w:pPr>
              <w:ind w:left="-90"/>
            </w:pPr>
            <w:r w:rsidRPr="004D0B40">
              <w:t>SHoA</w:t>
            </w:r>
          </w:p>
        </w:tc>
      </w:tr>
      <w:tr w:rsidR="004D0B40" w:rsidRPr="006D65EB" w14:paraId="62681AF3"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2D798"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5A296" w14:textId="77777777" w:rsidR="004D0B40" w:rsidRPr="004D0B40" w:rsidRDefault="004D0B40" w:rsidP="004D0B40">
            <w:pPr>
              <w:ind w:left="-90"/>
            </w:pPr>
            <w:r w:rsidRPr="004D0B40">
              <w:t>30/08/2023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B0918" w14:textId="77777777" w:rsidR="004D0B40" w:rsidRPr="004D0B40" w:rsidRDefault="004D0B40" w:rsidP="004D0B40">
            <w:pPr>
              <w:ind w:left="-90"/>
            </w:pPr>
            <w:r w:rsidRPr="004D0B40">
              <w:t>Presentation of Revenue Profile, Draft MTEF 2024- 2026 and MDAs Sectoral Expenditure Ceilings to EXCO for deliberations and approval</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8A4D4" w14:textId="77777777" w:rsidR="004D0B40" w:rsidRPr="004D0B40" w:rsidRDefault="004D0B40" w:rsidP="004D0B40">
            <w:pPr>
              <w:ind w:left="-90"/>
            </w:pPr>
            <w:r w:rsidRPr="004D0B40">
              <w:t>PBC</w:t>
            </w:r>
          </w:p>
        </w:tc>
      </w:tr>
      <w:tr w:rsidR="004D0B40" w:rsidRPr="006D65EB" w14:paraId="71987E98"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ED67C"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736B3" w14:textId="77777777" w:rsidR="004D0B40" w:rsidRPr="004D0B40" w:rsidRDefault="004D0B40" w:rsidP="004D0B40">
            <w:pPr>
              <w:ind w:left="-90"/>
            </w:pPr>
            <w:r w:rsidRPr="004D0B40">
              <w:t>4/09/2023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A6132" w14:textId="77777777" w:rsidR="004D0B40" w:rsidRPr="004D0B40" w:rsidRDefault="004D0B40" w:rsidP="004D0B40">
            <w:pPr>
              <w:ind w:left="-90"/>
            </w:pPr>
            <w:r w:rsidRPr="004D0B40">
              <w:t>Submission of 2024-2026 Expenditure Proposals to Planning &amp; Budget Commission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F91C7" w14:textId="77777777" w:rsidR="004D0B40" w:rsidRPr="004D0B40" w:rsidRDefault="004D0B40" w:rsidP="004D0B40">
            <w:pPr>
              <w:ind w:left="-90"/>
            </w:pPr>
            <w:r w:rsidRPr="004D0B40">
              <w:t>MDAs</w:t>
            </w:r>
          </w:p>
        </w:tc>
      </w:tr>
      <w:tr w:rsidR="004D0B40" w:rsidRPr="006D65EB" w14:paraId="15116297"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D7E71"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853DA" w14:textId="77777777" w:rsidR="004D0B40" w:rsidRPr="004D0B40" w:rsidRDefault="004D0B40" w:rsidP="004D0B40">
            <w:pPr>
              <w:ind w:left="-90"/>
            </w:pPr>
            <w:r w:rsidRPr="004D0B40">
              <w:t>4-7/09/2023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5786A" w14:textId="77777777" w:rsidR="004D0B40" w:rsidRPr="004D0B40" w:rsidRDefault="004D0B40" w:rsidP="004D0B40">
            <w:pPr>
              <w:ind w:left="-90"/>
            </w:pPr>
            <w:r w:rsidRPr="004D0B40">
              <w:t>Analysis of Expenditure Proposals submitted by MDAs to be used by Estimates Committee at the Budget Defence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9370A" w14:textId="77777777" w:rsidR="004D0B40" w:rsidRPr="004D0B40" w:rsidRDefault="004D0B40" w:rsidP="004D0B40">
            <w:pPr>
              <w:ind w:left="-90"/>
            </w:pPr>
            <w:r w:rsidRPr="004D0B40">
              <w:t>PBC</w:t>
            </w:r>
          </w:p>
        </w:tc>
      </w:tr>
      <w:tr w:rsidR="004D0B40" w:rsidRPr="006D65EB" w14:paraId="3C44B919"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00A5A"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A142F" w14:textId="77777777" w:rsidR="004D0B40" w:rsidRPr="004D0B40" w:rsidRDefault="004D0B40" w:rsidP="004D0B40">
            <w:pPr>
              <w:ind w:left="-90"/>
            </w:pPr>
            <w:r w:rsidRPr="004D0B40">
              <w:t xml:space="preserve">11-21/09/2023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521B9" w14:textId="77777777" w:rsidR="004D0B40" w:rsidRPr="004D0B40" w:rsidRDefault="004D0B40" w:rsidP="004D0B40">
            <w:pPr>
              <w:ind w:left="-90"/>
            </w:pPr>
            <w:r w:rsidRPr="004D0B40">
              <w:t>Estimates Committee meets with MDAs to defend their 2024- 2026 Budget Proposal and with Revenue Generating Agencies to defend their Revenue Proposals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B7718" w14:textId="77777777" w:rsidR="004D0B40" w:rsidRPr="004D0B40" w:rsidRDefault="004D0B40" w:rsidP="004D0B40">
            <w:pPr>
              <w:ind w:left="-90"/>
            </w:pPr>
            <w:r w:rsidRPr="004D0B40">
              <w:t xml:space="preserve">Estimates Committee </w:t>
            </w:r>
          </w:p>
        </w:tc>
      </w:tr>
      <w:tr w:rsidR="004D0B40" w:rsidRPr="006D65EB" w14:paraId="6C21A5B9"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DC4B5"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0184F" w14:textId="77777777" w:rsidR="004D0B40" w:rsidRPr="004D0B40" w:rsidRDefault="004D0B40" w:rsidP="004D0B40">
            <w:pPr>
              <w:ind w:left="-90"/>
            </w:pPr>
            <w:r w:rsidRPr="004D0B40">
              <w:t>25/09/2023-3/10/2023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1969E" w14:textId="77777777" w:rsidR="004D0B40" w:rsidRPr="004D0B40" w:rsidRDefault="004D0B40" w:rsidP="004D0B40">
            <w:pPr>
              <w:ind w:left="-90"/>
            </w:pPr>
            <w:r w:rsidRPr="004D0B40">
              <w:t>Harmonization of Revenue figures to determine the Proposed Revenue for the year 2024 and collation of Proposals defended by MDAs before the Estimates Committee simultaneously</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C186B" w14:textId="77777777" w:rsidR="004D0B40" w:rsidRPr="004D0B40" w:rsidRDefault="004D0B40" w:rsidP="004D0B40">
            <w:pPr>
              <w:ind w:left="-90"/>
            </w:pPr>
            <w:r w:rsidRPr="004D0B40">
              <w:t>PBC</w:t>
            </w:r>
          </w:p>
        </w:tc>
      </w:tr>
      <w:tr w:rsidR="004D0B40" w:rsidRPr="006D65EB" w14:paraId="19CE92F3"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F96C7"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831C6" w14:textId="77777777" w:rsidR="004D0B40" w:rsidRPr="004D0B40" w:rsidRDefault="004D0B40" w:rsidP="004D0B40">
            <w:pPr>
              <w:ind w:left="-90"/>
            </w:pPr>
            <w:r w:rsidRPr="004D0B40">
              <w:t>10/10/2023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A5ED6" w14:textId="77777777" w:rsidR="004D0B40" w:rsidRPr="004D0B40" w:rsidRDefault="004D0B40" w:rsidP="004D0B40">
            <w:pPr>
              <w:ind w:left="-90"/>
            </w:pPr>
            <w:r w:rsidRPr="004D0B40">
              <w:t xml:space="preserve">Presentation of 2024- 2026 1st Draft Budget to The Governor for perusal, </w:t>
            </w:r>
            <w:proofErr w:type="gramStart"/>
            <w:r w:rsidRPr="004D0B40">
              <w:t>observation</w:t>
            </w:r>
            <w:proofErr w:type="gramEnd"/>
            <w:r w:rsidRPr="004D0B40">
              <w:t xml:space="preserve"> and comments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4EC6A" w14:textId="77777777" w:rsidR="004D0B40" w:rsidRPr="004D0B40" w:rsidRDefault="004D0B40" w:rsidP="004D0B40">
            <w:pPr>
              <w:ind w:left="-90"/>
            </w:pPr>
            <w:r w:rsidRPr="004D0B40">
              <w:t>HC, PBC</w:t>
            </w:r>
          </w:p>
        </w:tc>
      </w:tr>
      <w:tr w:rsidR="004D0B40" w:rsidRPr="006D65EB" w14:paraId="3A7411DF"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8323F"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C56AD" w14:textId="77777777" w:rsidR="004D0B40" w:rsidRPr="004D0B40" w:rsidRDefault="004D0B40" w:rsidP="004D0B40">
            <w:pPr>
              <w:ind w:left="-90"/>
            </w:pPr>
            <w:r w:rsidRPr="004D0B40">
              <w:t>12-16/10/2023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62919" w14:textId="77777777" w:rsidR="004D0B40" w:rsidRPr="004D0B40" w:rsidRDefault="004D0B40" w:rsidP="004D0B40">
            <w:pPr>
              <w:ind w:left="-90"/>
            </w:pPr>
            <w:r w:rsidRPr="004D0B40">
              <w:t>Effecting corrections/amendments by PBC Vide the Governor’s observations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3A6D6" w14:textId="77777777" w:rsidR="004D0B40" w:rsidRPr="004D0B40" w:rsidRDefault="004D0B40" w:rsidP="004D0B40">
            <w:pPr>
              <w:ind w:left="-90"/>
            </w:pPr>
            <w:r w:rsidRPr="004D0B40">
              <w:t>PBC</w:t>
            </w:r>
          </w:p>
        </w:tc>
      </w:tr>
      <w:tr w:rsidR="004D0B40" w:rsidRPr="006D65EB" w14:paraId="69CE2B88"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E5F59"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C89D0" w14:textId="77777777" w:rsidR="004D0B40" w:rsidRPr="004D0B40" w:rsidRDefault="004D0B40" w:rsidP="004D0B40">
            <w:pPr>
              <w:ind w:left="-90"/>
            </w:pPr>
            <w:r w:rsidRPr="004D0B40">
              <w:t>21/10/2023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FB80B" w14:textId="77777777" w:rsidR="004D0B40" w:rsidRPr="004D0B40" w:rsidRDefault="004D0B40" w:rsidP="004D0B40">
            <w:pPr>
              <w:ind w:left="-90"/>
            </w:pPr>
            <w:r w:rsidRPr="004D0B40">
              <w:t>Town Hall Meeting on the 2024 Draft Budget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462C6" w14:textId="77777777" w:rsidR="004D0B40" w:rsidRPr="004D0B40" w:rsidRDefault="004D0B40" w:rsidP="004D0B40">
            <w:pPr>
              <w:ind w:left="-90"/>
            </w:pPr>
            <w:r w:rsidRPr="004D0B40">
              <w:t>PBC</w:t>
            </w:r>
          </w:p>
        </w:tc>
      </w:tr>
      <w:tr w:rsidR="004D0B40" w:rsidRPr="006D65EB" w14:paraId="342112B2"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8E5F0"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9E062" w14:textId="77777777" w:rsidR="004D0B40" w:rsidRPr="004D0B40" w:rsidRDefault="004D0B40" w:rsidP="004D0B40">
            <w:pPr>
              <w:ind w:left="-90"/>
            </w:pPr>
            <w:r w:rsidRPr="004D0B40">
              <w:t>23/10/2023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1F248" w14:textId="77777777" w:rsidR="004D0B40" w:rsidRPr="004D0B40" w:rsidRDefault="004D0B40" w:rsidP="004D0B40">
            <w:pPr>
              <w:ind w:left="-90"/>
            </w:pPr>
            <w:r w:rsidRPr="004D0B40">
              <w:t>Council deliberation on 2024 Draft Budget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89676" w14:textId="77777777" w:rsidR="004D0B40" w:rsidRPr="004D0B40" w:rsidRDefault="004D0B40" w:rsidP="004D0B40">
            <w:pPr>
              <w:ind w:left="-90"/>
            </w:pPr>
            <w:r w:rsidRPr="004D0B40">
              <w:t xml:space="preserve">Council </w:t>
            </w:r>
          </w:p>
        </w:tc>
      </w:tr>
      <w:tr w:rsidR="004D0B40" w:rsidRPr="006D65EB" w14:paraId="1312517F"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70ABB"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3A07F" w14:textId="77777777" w:rsidR="004D0B40" w:rsidRPr="004D0B40" w:rsidRDefault="004D0B40" w:rsidP="004D0B40">
            <w:pPr>
              <w:ind w:left="-90"/>
            </w:pPr>
            <w:r w:rsidRPr="004D0B40">
              <w:t>25/10/2023</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0E5A7" w14:textId="77777777" w:rsidR="004D0B40" w:rsidRPr="004D0B40" w:rsidRDefault="004D0B40" w:rsidP="004D0B40">
            <w:pPr>
              <w:ind w:left="-90"/>
            </w:pPr>
            <w:r w:rsidRPr="004D0B40">
              <w:t xml:space="preserve">Presentation of Draft Budget to House of Assembly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71661" w14:textId="77777777" w:rsidR="004D0B40" w:rsidRPr="004D0B40" w:rsidRDefault="004D0B40" w:rsidP="004D0B40">
            <w:pPr>
              <w:ind w:left="-90"/>
            </w:pPr>
            <w:r w:rsidRPr="004D0B40">
              <w:t>Governor</w:t>
            </w:r>
          </w:p>
        </w:tc>
      </w:tr>
      <w:tr w:rsidR="004D0B40" w:rsidRPr="006D65EB" w14:paraId="412C27FB"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D28D6"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48052" w14:textId="77777777" w:rsidR="004D0B40" w:rsidRPr="004D0B40" w:rsidRDefault="004D0B40" w:rsidP="004D0B40">
            <w:pPr>
              <w:ind w:left="-90"/>
            </w:pPr>
            <w:r w:rsidRPr="004D0B40">
              <w:t>To be carried out within two (2) months</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B96D0" w14:textId="77777777" w:rsidR="004D0B40" w:rsidRPr="004D0B40" w:rsidRDefault="004D0B40" w:rsidP="004D0B40">
            <w:pPr>
              <w:ind w:left="-90"/>
            </w:pPr>
            <w:r w:rsidRPr="004D0B40">
              <w:t>Review and Approval by the House of Assembly</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59F46" w14:textId="77777777" w:rsidR="004D0B40" w:rsidRPr="004D0B40" w:rsidRDefault="004D0B40" w:rsidP="004D0B40">
            <w:pPr>
              <w:ind w:left="-90"/>
            </w:pPr>
            <w:r w:rsidRPr="004D0B40">
              <w:t>SHoA</w:t>
            </w:r>
          </w:p>
        </w:tc>
      </w:tr>
      <w:tr w:rsidR="004D0B40" w:rsidRPr="006D65EB" w14:paraId="377AC6C3"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6A312"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AD00A" w14:textId="77777777" w:rsidR="004D0B40" w:rsidRPr="004D0B40" w:rsidRDefault="004D0B40" w:rsidP="004D0B40">
            <w:pPr>
              <w:ind w:left="-90"/>
            </w:pPr>
            <w:r w:rsidRPr="004D0B40">
              <w:t>Subject to Passage by SHoA</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BFC0E" w14:textId="77777777" w:rsidR="004D0B40" w:rsidRPr="004D0B40" w:rsidRDefault="004D0B40" w:rsidP="004D0B40">
            <w:pPr>
              <w:ind w:left="-90"/>
            </w:pPr>
            <w:r w:rsidRPr="004D0B40">
              <w:t>Assent of 2024 Approved Budget by the Governor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1788F" w14:textId="77777777" w:rsidR="004D0B40" w:rsidRPr="004D0B40" w:rsidRDefault="004D0B40" w:rsidP="004D0B40">
            <w:pPr>
              <w:ind w:left="-90"/>
            </w:pPr>
            <w:r w:rsidRPr="004D0B40">
              <w:t>Governor</w:t>
            </w:r>
          </w:p>
        </w:tc>
      </w:tr>
      <w:tr w:rsidR="004D0B40" w:rsidRPr="006D65EB" w14:paraId="549C9A27"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8053F"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E3CFF" w14:textId="77777777" w:rsidR="004D0B40" w:rsidRPr="004D0B40" w:rsidRDefault="004D0B40" w:rsidP="004D0B40">
            <w:pPr>
              <w:ind w:left="-90"/>
            </w:pPr>
            <w:r w:rsidRPr="004D0B40">
              <w:t>Subject to Assent by HE</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6C6E6" w14:textId="77777777" w:rsidR="004D0B40" w:rsidRPr="004D0B40" w:rsidRDefault="004D0B40" w:rsidP="004D0B40">
            <w:pPr>
              <w:ind w:left="-90"/>
            </w:pPr>
            <w:r w:rsidRPr="004D0B40">
              <w:t>Public presentation and analysis of Approved budget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92B3E" w14:textId="77777777" w:rsidR="004D0B40" w:rsidRPr="004D0B40" w:rsidRDefault="004D0B40" w:rsidP="004D0B40">
            <w:pPr>
              <w:ind w:left="-90"/>
            </w:pPr>
            <w:r w:rsidRPr="004D0B40">
              <w:t>HC, PBC</w:t>
            </w:r>
          </w:p>
        </w:tc>
      </w:tr>
      <w:tr w:rsidR="004D0B40" w:rsidRPr="006D65EB" w14:paraId="2C775F90"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29F97"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11A08" w14:textId="77777777" w:rsidR="004D0B40" w:rsidRPr="004D0B40" w:rsidRDefault="004D0B40" w:rsidP="004D0B40">
            <w:pPr>
              <w:ind w:left="-90"/>
            </w:pPr>
            <w:r w:rsidRPr="004D0B40">
              <w:t>Subject to Assent by HE</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064E5" w14:textId="77777777" w:rsidR="004D0B40" w:rsidRPr="004D0B40" w:rsidRDefault="004D0B40" w:rsidP="004D0B40">
            <w:pPr>
              <w:ind w:left="-90"/>
            </w:pPr>
            <w:r w:rsidRPr="004D0B40">
              <w:t>Signing of 2024 Expenditure Warrants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B83AD" w14:textId="77777777" w:rsidR="004D0B40" w:rsidRPr="004D0B40" w:rsidRDefault="004D0B40" w:rsidP="004D0B40">
            <w:pPr>
              <w:ind w:left="-90"/>
            </w:pPr>
            <w:r w:rsidRPr="004D0B40">
              <w:t>MoF</w:t>
            </w:r>
          </w:p>
        </w:tc>
      </w:tr>
      <w:tr w:rsidR="004D0B40" w:rsidRPr="006D65EB" w14:paraId="7CD72D40" w14:textId="77777777" w:rsidTr="004D0B40">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9D75F" w14:textId="77777777" w:rsidR="004D0B40" w:rsidRPr="004D0B40" w:rsidRDefault="004D0B40" w:rsidP="004D0B40">
            <w:pPr>
              <w:numPr>
                <w:ilvl w:val="0"/>
                <w:numId w:val="18"/>
              </w:numPr>
              <w:suppressAutoHyphens/>
              <w:autoSpaceDN w:val="0"/>
              <w:spacing w:before="0" w:after="0"/>
              <w:textAlignment w:val="baseline"/>
              <w:rPr>
                <w:lang w:val="en-US"/>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86353" w14:textId="77777777" w:rsidR="004D0B40" w:rsidRPr="004D0B40" w:rsidRDefault="004D0B40" w:rsidP="004D0B40">
            <w:pPr>
              <w:ind w:left="-90"/>
            </w:pPr>
            <w:r w:rsidRPr="004D0B40">
              <w:t>Jan. 2024</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76542" w14:textId="77777777" w:rsidR="004D0B40" w:rsidRPr="004D0B40" w:rsidRDefault="004D0B40" w:rsidP="004D0B40">
            <w:pPr>
              <w:ind w:left="-90"/>
            </w:pPr>
            <w:r w:rsidRPr="004D0B40">
              <w:t>Guidelines for 2024 Budget implementation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4636E" w14:textId="77777777" w:rsidR="004D0B40" w:rsidRPr="004D0B40" w:rsidRDefault="004D0B40" w:rsidP="004D0B40">
            <w:pPr>
              <w:ind w:left="-90"/>
            </w:pPr>
            <w:r w:rsidRPr="004D0B40">
              <w:t>PBC</w:t>
            </w:r>
          </w:p>
        </w:tc>
      </w:tr>
    </w:tbl>
    <w:p w14:paraId="4AFEBB9B" w14:textId="6B68F70F" w:rsidR="00C96874" w:rsidRDefault="00C96874" w:rsidP="00C96874"/>
    <w:p w14:paraId="29700339" w14:textId="77777777" w:rsidR="00C96874" w:rsidRDefault="00C96874" w:rsidP="00C96874">
      <w:pPr>
        <w:pStyle w:val="Heading1"/>
      </w:pPr>
      <w:bookmarkStart w:id="43" w:name="_Toc340045246"/>
      <w:bookmarkStart w:id="44" w:name="_Toc340053635"/>
      <w:bookmarkStart w:id="45" w:name="_Toc14448424"/>
      <w:bookmarkStart w:id="46" w:name="_Toc106568607"/>
      <w:bookmarkStart w:id="47" w:name="_Toc143179774"/>
      <w:r>
        <w:lastRenderedPageBreak/>
        <w:t>Economic and Fiscal Update</w:t>
      </w:r>
      <w:bookmarkEnd w:id="43"/>
      <w:bookmarkEnd w:id="44"/>
      <w:bookmarkEnd w:id="45"/>
      <w:bookmarkEnd w:id="46"/>
      <w:bookmarkEnd w:id="47"/>
    </w:p>
    <w:p w14:paraId="49387A59" w14:textId="77777777" w:rsidR="00C96874" w:rsidRDefault="00C96874" w:rsidP="00C96874">
      <w:pPr>
        <w:pStyle w:val="Heading2"/>
      </w:pPr>
      <w:bookmarkStart w:id="48" w:name="_Toc340045247"/>
      <w:bookmarkStart w:id="49" w:name="_Toc340053636"/>
      <w:bookmarkStart w:id="50" w:name="_Toc14448425"/>
      <w:bookmarkStart w:id="51" w:name="_Toc106568608"/>
      <w:bookmarkStart w:id="52" w:name="_Toc143179775"/>
      <w:r>
        <w:t>Economic Overview</w:t>
      </w:r>
      <w:bookmarkEnd w:id="48"/>
      <w:bookmarkEnd w:id="49"/>
      <w:bookmarkEnd w:id="50"/>
      <w:bookmarkEnd w:id="51"/>
      <w:bookmarkEnd w:id="52"/>
    </w:p>
    <w:p w14:paraId="16BA7D9A" w14:textId="7ABE118E" w:rsidR="00C96874" w:rsidRDefault="00C96874" w:rsidP="00C96874">
      <w:pPr>
        <w:pStyle w:val="Heading3"/>
      </w:pPr>
      <w:bookmarkStart w:id="53" w:name="_Toc106568609"/>
      <w:bookmarkStart w:id="54" w:name="_Toc143179776"/>
      <w:r>
        <w:t>Global Economy</w:t>
      </w:r>
      <w:bookmarkEnd w:id="53"/>
      <w:bookmarkEnd w:id="54"/>
    </w:p>
    <w:p w14:paraId="58BAC0BF" w14:textId="77777777" w:rsidR="006D1175" w:rsidRPr="006D1175" w:rsidRDefault="006D1175" w:rsidP="003B7FCB">
      <w:pPr>
        <w:pStyle w:val="NumberedPara"/>
        <w:tabs>
          <w:tab w:val="clear" w:pos="2127"/>
          <w:tab w:val="num" w:pos="1560"/>
        </w:tabs>
        <w:ind w:left="567"/>
        <w:rPr>
          <w:lang w:val="en-US"/>
        </w:rPr>
      </w:pPr>
      <w:r w:rsidRPr="006D1175">
        <w:rPr>
          <w:lang w:val="en-US"/>
        </w:rPr>
        <w:t>A series of severe and mutually reinforcing shocks hit the Global economy in 2022, as it approached the mid-point for achieving the Sustainable Development Goals (SDGs) by 2030. While the impacts of the COVID-19 pandemic continue to echo Global-wide, the war in Ukraine unleashed a new crisis, disrupting food and energy markets and worsening food insecurity and malnutrition in many developing countries. High inflation is eroding real incomes, triggering a global cost-of-living crisis that has pushed millions into poverty and economic hardship. At the same time, the climate crisis is taking a heavy toll on many countries, with heat waves, wildfires, floods, and hurricanes inflicting massive humanitarian and economic damage.</w:t>
      </w:r>
    </w:p>
    <w:p w14:paraId="18045FA6" w14:textId="5E944373" w:rsidR="005171A3" w:rsidRPr="005171A3" w:rsidRDefault="006D1175" w:rsidP="003B7FCB">
      <w:pPr>
        <w:pStyle w:val="NumberedPara"/>
        <w:tabs>
          <w:tab w:val="clear" w:pos="2127"/>
          <w:tab w:val="num" w:pos="1560"/>
        </w:tabs>
        <w:ind w:left="567"/>
        <w:rPr>
          <w:lang w:val="en-US"/>
        </w:rPr>
      </w:pPr>
      <w:r w:rsidRPr="006D1175">
        <w:rPr>
          <w:lang w:val="en-US"/>
        </w:rPr>
        <w:t>These shocks will weigh heavily on the Global economy in 2023. Persistently high inflation – which averaged over 9</w:t>
      </w:r>
      <w:r w:rsidR="005259DF">
        <w:rPr>
          <w:lang w:val="en-US"/>
        </w:rPr>
        <w:t xml:space="preserve">% </w:t>
      </w:r>
      <w:r w:rsidRPr="006D1175">
        <w:rPr>
          <w:lang w:val="en-US"/>
        </w:rPr>
        <w:t>in 2022 – has provoked aggressive monetary tightening in many developed and developing countries. Rapid interest rate hikes by the Federal Reserve of the United States have triggered capital outflows and currency depreciations in developing countries, increasing balance-of-payment pressures and intensifying debt sustainability risks. Financing conditions have tightened sharply amid high levels of private and public debt, pushing up debt servicing costs, constraining fiscal space, and increasing sovereign credit risks. Rising interest rates and diminishing purchasing power have weakened consumer confidence, investor sentiment, and further clouding the near-term growth prospects of the Global economy. Global trade has softened due to Narrowing demand for consumer goods, the protracted war in Ukraine, and continued supply chain challenges.</w:t>
      </w:r>
    </w:p>
    <w:p w14:paraId="1F963D83" w14:textId="0BC1056F" w:rsidR="00C96874" w:rsidRDefault="006D1175" w:rsidP="006D1175">
      <w:pPr>
        <w:pStyle w:val="Caption"/>
      </w:pPr>
      <w:bookmarkStart w:id="55" w:name="_Toc143179906"/>
      <w:bookmarkStart w:id="56" w:name="_Hlk143176257"/>
      <w:r>
        <w:t xml:space="preserve">Figure </w:t>
      </w:r>
      <w:r>
        <w:fldChar w:fldCharType="begin"/>
      </w:r>
      <w:r>
        <w:instrText xml:space="preserve"> SEQ Figure \* ARABIC </w:instrText>
      </w:r>
      <w:r>
        <w:fldChar w:fldCharType="separate"/>
      </w:r>
      <w:r w:rsidR="005A0A9E">
        <w:rPr>
          <w:noProof/>
        </w:rPr>
        <w:t>2</w:t>
      </w:r>
      <w:r>
        <w:fldChar w:fldCharType="end"/>
      </w:r>
      <w:r>
        <w:t>:</w:t>
      </w:r>
      <w:r w:rsidR="007F359B">
        <w:t xml:space="preserve"> Global GDP Trend</w:t>
      </w:r>
      <w:bookmarkEnd w:id="55"/>
    </w:p>
    <w:bookmarkEnd w:id="56"/>
    <w:p w14:paraId="5FC0CB99" w14:textId="2D835489" w:rsidR="000B5652" w:rsidRPr="000B5652" w:rsidRDefault="006D1175" w:rsidP="006D1175">
      <w:pPr>
        <w:jc w:val="center"/>
      </w:pPr>
      <w:r>
        <w:rPr>
          <w:noProof/>
          <w:lang w:val="en-US" w:eastAsia="en-US"/>
        </w:rPr>
        <w:drawing>
          <wp:inline distT="0" distB="0" distL="0" distR="0" wp14:anchorId="224EC9F6" wp14:editId="0809E2F5">
            <wp:extent cx="5398946" cy="2775005"/>
            <wp:effectExtent l="0" t="0" r="0" b="6350"/>
            <wp:docPr id="1654324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24746" name="Picture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0092" cy="2791014"/>
                    </a:xfrm>
                    <a:prstGeom prst="rect">
                      <a:avLst/>
                    </a:prstGeom>
                    <a:noFill/>
                    <a:ln>
                      <a:noFill/>
                    </a:ln>
                  </pic:spPr>
                </pic:pic>
              </a:graphicData>
            </a:graphic>
          </wp:inline>
        </w:drawing>
      </w:r>
    </w:p>
    <w:p w14:paraId="0D4550AF" w14:textId="2BFBF649" w:rsidR="00BC5662" w:rsidRPr="00BC5662" w:rsidRDefault="006D1175" w:rsidP="00BC5662">
      <w:pPr>
        <w:rPr>
          <w:lang w:val="en-US"/>
        </w:rPr>
      </w:pPr>
      <w:r w:rsidRPr="006D1175">
        <w:rPr>
          <w:i/>
          <w:sz w:val="16"/>
          <w:szCs w:val="16"/>
          <w:lang w:val="en-US"/>
        </w:rPr>
        <w:t>Source: UN DESA, based on estimates and forecast produced with the Global economic forecasting model</w:t>
      </w:r>
    </w:p>
    <w:p w14:paraId="5B247334" w14:textId="190CC07E" w:rsidR="00C96874" w:rsidRDefault="006D1175" w:rsidP="003B7FCB">
      <w:pPr>
        <w:pStyle w:val="NumberedPara"/>
        <w:tabs>
          <w:tab w:val="clear" w:pos="2127"/>
          <w:tab w:val="num" w:pos="1560"/>
        </w:tabs>
        <w:ind w:left="567"/>
      </w:pPr>
      <w:r w:rsidRPr="006D1175">
        <w:t>Against this backdrop, the Global output growth forecast was revised down significantly from the May 2022 projection. The Global gross product growth is projected to decelerate from an estimated 3.0</w:t>
      </w:r>
      <w:r w:rsidR="00397592">
        <w:t>%</w:t>
      </w:r>
      <w:r w:rsidRPr="006D1175">
        <w:t xml:space="preserve"> in 2022 to only 1.9</w:t>
      </w:r>
      <w:r w:rsidR="00397592">
        <w:t>%</w:t>
      </w:r>
      <w:r w:rsidRPr="006D1175">
        <w:t xml:space="preserve"> in 2023, marking one of the lowest growth rates in recent decades. Global growth is forecast to moderately pick up to 2.7</w:t>
      </w:r>
      <w:r w:rsidR="00397592">
        <w:t>%</w:t>
      </w:r>
      <w:r w:rsidRPr="006D1175">
        <w:t xml:space="preserve"> in 2024, as expected, some of the macroeconomic headwinds begin to subside next year.</w:t>
      </w:r>
      <w:r w:rsidR="00021365">
        <w:t xml:space="preserve"> </w:t>
      </w:r>
    </w:p>
    <w:p w14:paraId="19D2624B" w14:textId="1A657363" w:rsidR="00DB04DF" w:rsidRDefault="00DB04DF" w:rsidP="003B7FCB">
      <w:pPr>
        <w:pStyle w:val="NumberedPara"/>
        <w:tabs>
          <w:tab w:val="clear" w:pos="2127"/>
          <w:tab w:val="num" w:pos="1560"/>
        </w:tabs>
        <w:ind w:left="567"/>
      </w:pPr>
      <w:r>
        <w:t xml:space="preserve">The real economic growth rate, or real GDP growth rate, measures economic growth, as expressed by gross domestic product (GDP), from one period to another, adjusted for inflation or </w:t>
      </w:r>
      <w:r w:rsidR="003B7FCB">
        <w:t>deflation. The</w:t>
      </w:r>
      <w:r>
        <w:t xml:space="preserve"> baseline forecast is for global growth to fall from 3.4</w:t>
      </w:r>
      <w:r w:rsidR="00397592">
        <w:t>%</w:t>
      </w:r>
      <w:r>
        <w:t xml:space="preserve"> in 2022 to </w:t>
      </w:r>
      <w:r>
        <w:lastRenderedPageBreak/>
        <w:t>2.8</w:t>
      </w:r>
      <w:r w:rsidR="00397592">
        <w:t>%</w:t>
      </w:r>
      <w:r>
        <w:t xml:space="preserve"> in 2023, before settling at 3.0</w:t>
      </w:r>
      <w:r w:rsidR="00397592">
        <w:t>%</w:t>
      </w:r>
      <w:r>
        <w:t xml:space="preserve"> in 2024. Advanced economies are expected to see an especially pronounced growth slowdown, from 2.7</w:t>
      </w:r>
      <w:r w:rsidR="00397592">
        <w:t>%</w:t>
      </w:r>
      <w:r>
        <w:t xml:space="preserve"> in 2022 to 1.3</w:t>
      </w:r>
      <w:r w:rsidR="00397592">
        <w:t>%</w:t>
      </w:r>
      <w:r>
        <w:t xml:space="preserve"> in 2023. </w:t>
      </w:r>
    </w:p>
    <w:p w14:paraId="5ADB03AD" w14:textId="39A16031" w:rsidR="006D1175" w:rsidRDefault="00DB04DF" w:rsidP="003B7FCB">
      <w:pPr>
        <w:pStyle w:val="NumberedPara"/>
        <w:tabs>
          <w:tab w:val="clear" w:pos="2127"/>
          <w:tab w:val="num" w:pos="1135"/>
          <w:tab w:val="num" w:pos="1560"/>
        </w:tabs>
        <w:ind w:left="567"/>
      </w:pPr>
      <w:r>
        <w:t>In a plausible alternative scenario with further financial sector stress, global growth declines to about 2.5</w:t>
      </w:r>
      <w:r w:rsidR="00397592">
        <w:t>%</w:t>
      </w:r>
      <w:r>
        <w:t xml:space="preserve"> in 2023 with advanced economy growth falling below 1</w:t>
      </w:r>
      <w:r w:rsidR="00397592">
        <w:t>%</w:t>
      </w:r>
      <w:r>
        <w:t>. Global headline inflation in the baseline is set to fall from 8.7</w:t>
      </w:r>
      <w:r w:rsidR="00397592">
        <w:t>%</w:t>
      </w:r>
      <w:r>
        <w:t xml:space="preserve"> in 2022 to 7.0</w:t>
      </w:r>
      <w:r w:rsidR="00397592">
        <w:t>%</w:t>
      </w:r>
      <w:r>
        <w:t xml:space="preserve"> in 2023 on the back of lower commodity prices but underlying (core) inflation is likely to decline more slowly. Inflation’s return to target is unlikely before 2025 in most cases.</w:t>
      </w:r>
    </w:p>
    <w:p w14:paraId="20648129" w14:textId="7FA9D39E" w:rsidR="00C96874" w:rsidRDefault="00C96874" w:rsidP="00C96874">
      <w:pPr>
        <w:pStyle w:val="Caption"/>
        <w:rPr>
          <w:noProof/>
        </w:rPr>
      </w:pPr>
      <w:bookmarkStart w:id="57" w:name="_Toc72918050"/>
      <w:bookmarkStart w:id="58" w:name="_Toc106568665"/>
      <w:bookmarkStart w:id="59" w:name="_Toc143179940"/>
      <w:bookmarkStart w:id="60" w:name="_Hlk135119686"/>
      <w:r>
        <w:t xml:space="preserve">Table </w:t>
      </w:r>
      <w:r>
        <w:fldChar w:fldCharType="begin"/>
      </w:r>
      <w:r>
        <w:instrText xml:space="preserve"> SEQ Table \* ARABIC </w:instrText>
      </w:r>
      <w:r>
        <w:fldChar w:fldCharType="separate"/>
      </w:r>
      <w:r w:rsidR="00B76AD5">
        <w:rPr>
          <w:noProof/>
        </w:rPr>
        <w:t>3</w:t>
      </w:r>
      <w:r>
        <w:rPr>
          <w:noProof/>
        </w:rPr>
        <w:fldChar w:fldCharType="end"/>
      </w:r>
      <w:r w:rsidR="00E34B4C">
        <w:rPr>
          <w:noProof/>
        </w:rPr>
        <w:t>:</w:t>
      </w:r>
      <w:bookmarkEnd w:id="57"/>
      <w:bookmarkEnd w:id="58"/>
      <w:r w:rsidR="006D1175">
        <w:rPr>
          <w:noProof/>
        </w:rPr>
        <w:t xml:space="preserve"> </w:t>
      </w:r>
      <w:r w:rsidR="006D1175" w:rsidRPr="006D1175">
        <w:rPr>
          <w:noProof/>
        </w:rPr>
        <w:t>Selected Economies Real GDP Growth</w:t>
      </w:r>
      <w:bookmarkEnd w:id="59"/>
    </w:p>
    <w:bookmarkEnd w:id="60"/>
    <w:p w14:paraId="016DD84D" w14:textId="4CCC6844" w:rsidR="006D1175" w:rsidRPr="006D1175" w:rsidRDefault="006D1175" w:rsidP="006D1175">
      <w:pPr>
        <w:jc w:val="center"/>
      </w:pPr>
      <w:r>
        <w:rPr>
          <w:noProof/>
          <w:lang w:val="en-US" w:eastAsia="en-US"/>
        </w:rPr>
        <w:drawing>
          <wp:inline distT="0" distB="0" distL="0" distR="0" wp14:anchorId="58343FAE" wp14:editId="1F885909">
            <wp:extent cx="4889500" cy="3108960"/>
            <wp:effectExtent l="0" t="0" r="6350" b="0"/>
            <wp:docPr id="1838286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9500" cy="3108960"/>
                    </a:xfrm>
                    <a:prstGeom prst="rect">
                      <a:avLst/>
                    </a:prstGeom>
                    <a:noFill/>
                  </pic:spPr>
                </pic:pic>
              </a:graphicData>
            </a:graphic>
          </wp:inline>
        </w:drawing>
      </w:r>
    </w:p>
    <w:p w14:paraId="52BD7CBD" w14:textId="7DCB8DD6" w:rsidR="00BC5662" w:rsidRPr="0004484E" w:rsidRDefault="006D1175" w:rsidP="0004484E">
      <w:pPr>
        <w:pStyle w:val="CommentText"/>
        <w:rPr>
          <w:sz w:val="16"/>
          <w:szCs w:val="16"/>
        </w:rPr>
      </w:pPr>
      <w:bookmarkStart w:id="61" w:name="_Hlk135119720"/>
      <w:r w:rsidRPr="006D1175">
        <w:rPr>
          <w:i/>
          <w:sz w:val="16"/>
          <w:szCs w:val="16"/>
          <w:lang w:val="en-US"/>
        </w:rPr>
        <w:t xml:space="preserve">Source: </w:t>
      </w:r>
      <w:r w:rsidR="005E7C45" w:rsidRPr="005E7C45">
        <w:t xml:space="preserve"> </w:t>
      </w:r>
      <w:r w:rsidR="005E7C45" w:rsidRPr="0004484E">
        <w:rPr>
          <w:sz w:val="16"/>
          <w:szCs w:val="16"/>
        </w:rPr>
        <w:t>IMF World Economic Outlook April 2023</w:t>
      </w:r>
    </w:p>
    <w:p w14:paraId="2517F76B" w14:textId="43964496" w:rsidR="006D1175" w:rsidRPr="006D1175" w:rsidRDefault="006D1175" w:rsidP="006D1175">
      <w:pPr>
        <w:pStyle w:val="Caption"/>
        <w:rPr>
          <w:noProof/>
        </w:rPr>
      </w:pPr>
      <w:bookmarkStart w:id="62" w:name="_Hlk135122624"/>
      <w:bookmarkStart w:id="63" w:name="_Toc143179941"/>
      <w:bookmarkEnd w:id="61"/>
      <w:r>
        <w:t xml:space="preserve">Table </w:t>
      </w:r>
      <w:r>
        <w:fldChar w:fldCharType="begin"/>
      </w:r>
      <w:r>
        <w:instrText xml:space="preserve"> SEQ Table \* ARABIC </w:instrText>
      </w:r>
      <w:r>
        <w:fldChar w:fldCharType="separate"/>
      </w:r>
      <w:r w:rsidR="00727B66">
        <w:rPr>
          <w:noProof/>
        </w:rPr>
        <w:t>4</w:t>
      </w:r>
      <w:r>
        <w:rPr>
          <w:noProof/>
        </w:rPr>
        <w:fldChar w:fldCharType="end"/>
      </w:r>
      <w:r>
        <w:rPr>
          <w:noProof/>
        </w:rPr>
        <w:t xml:space="preserve">: </w:t>
      </w:r>
      <w:r w:rsidRPr="006D1175">
        <w:rPr>
          <w:noProof/>
        </w:rPr>
        <w:t xml:space="preserve">Selected </w:t>
      </w:r>
      <w:bookmarkEnd w:id="62"/>
      <w:r w:rsidRPr="006D1175">
        <w:rPr>
          <w:noProof/>
        </w:rPr>
        <w:t>Economies Real GDP Growth</w:t>
      </w:r>
      <w:bookmarkEnd w:id="63"/>
    </w:p>
    <w:p w14:paraId="4A42B1D7" w14:textId="68226E6F" w:rsidR="006D1175" w:rsidRDefault="006D1175" w:rsidP="006D1175">
      <w:pPr>
        <w:jc w:val="center"/>
        <w:rPr>
          <w:i/>
          <w:sz w:val="16"/>
          <w:szCs w:val="16"/>
          <w:lang w:val="en-US"/>
        </w:rPr>
      </w:pPr>
      <w:r>
        <w:rPr>
          <w:i/>
          <w:noProof/>
          <w:sz w:val="16"/>
          <w:szCs w:val="16"/>
          <w:lang w:val="en-US" w:eastAsia="en-US"/>
        </w:rPr>
        <w:drawing>
          <wp:inline distT="0" distB="0" distL="0" distR="0" wp14:anchorId="6A1010AF" wp14:editId="66BC5567">
            <wp:extent cx="4905954" cy="3401695"/>
            <wp:effectExtent l="0" t="0" r="9525" b="8255"/>
            <wp:docPr id="2134081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9718" cy="3404305"/>
                    </a:xfrm>
                    <a:prstGeom prst="rect">
                      <a:avLst/>
                    </a:prstGeom>
                    <a:noFill/>
                  </pic:spPr>
                </pic:pic>
              </a:graphicData>
            </a:graphic>
          </wp:inline>
        </w:drawing>
      </w:r>
    </w:p>
    <w:p w14:paraId="3D75C7AB" w14:textId="49FC4598" w:rsidR="005E7C45" w:rsidRDefault="006D1175" w:rsidP="005E7C45">
      <w:pPr>
        <w:pStyle w:val="CommentText"/>
      </w:pPr>
      <w:bookmarkStart w:id="64" w:name="_Hlk143176737"/>
      <w:bookmarkStart w:id="65" w:name="_Hlk135120877"/>
      <w:r w:rsidRPr="006D1175">
        <w:rPr>
          <w:i/>
          <w:sz w:val="16"/>
          <w:szCs w:val="16"/>
          <w:lang w:val="en-US"/>
        </w:rPr>
        <w:t xml:space="preserve">Source: </w:t>
      </w:r>
      <w:r w:rsidR="005E7C45" w:rsidRPr="0004484E">
        <w:rPr>
          <w:sz w:val="16"/>
          <w:szCs w:val="16"/>
        </w:rPr>
        <w:t>IMF World Economic Outlook April 2023</w:t>
      </w:r>
    </w:p>
    <w:bookmarkEnd w:id="64"/>
    <w:p w14:paraId="51EF5B3F" w14:textId="57B0EF52" w:rsidR="006D1175" w:rsidRDefault="006D1175" w:rsidP="006D1175">
      <w:pPr>
        <w:rPr>
          <w:i/>
          <w:sz w:val="16"/>
          <w:szCs w:val="16"/>
          <w:lang w:val="en-US"/>
        </w:rPr>
      </w:pPr>
    </w:p>
    <w:p w14:paraId="430C7383" w14:textId="400A666E" w:rsidR="006D1175" w:rsidRPr="00473385" w:rsidRDefault="006D1175" w:rsidP="006D1175">
      <w:pPr>
        <w:pStyle w:val="Heading3"/>
        <w:rPr>
          <w:lang w:val="en-US"/>
        </w:rPr>
      </w:pPr>
      <w:bookmarkStart w:id="66" w:name="_Toc143179777"/>
      <w:bookmarkEnd w:id="65"/>
      <w:r w:rsidRPr="006D1175">
        <w:rPr>
          <w:lang w:val="en-US"/>
        </w:rPr>
        <w:lastRenderedPageBreak/>
        <w:t>Inflation</w:t>
      </w:r>
      <w:bookmarkEnd w:id="66"/>
    </w:p>
    <w:p w14:paraId="7723571E" w14:textId="166C3D6B" w:rsidR="00B10A71" w:rsidRDefault="006D1175" w:rsidP="00B10A71">
      <w:pPr>
        <w:pStyle w:val="NumberedPara"/>
        <w:tabs>
          <w:tab w:val="clear" w:pos="2127"/>
          <w:tab w:val="num" w:pos="2552"/>
        </w:tabs>
        <w:ind w:left="567"/>
        <w:rPr>
          <w:lang w:val="en-US"/>
        </w:rPr>
      </w:pPr>
      <w:r w:rsidRPr="006D1175">
        <w:rPr>
          <w:lang w:val="en-US"/>
        </w:rPr>
        <w:t>Inflationary pressures are projected to gradually decrease amid weakening aggregate demand in the global economy. This should allow the US Federal Reserve and other major central banks to slow the pace of monetary tightening and, eventually, shift gears to a more accommodative monetary policy stance. The near-term economic outlook remains highly uncertain, as countless of economic, financial, geopolitical, and environmental risks persist.</w:t>
      </w:r>
    </w:p>
    <w:p w14:paraId="6ED61DB8" w14:textId="48EB5821" w:rsidR="00B10A71" w:rsidRDefault="00B10A71" w:rsidP="00B10A71">
      <w:pPr>
        <w:pStyle w:val="Caption"/>
      </w:pPr>
      <w:bookmarkStart w:id="67" w:name="_Toc143179907"/>
      <w:r w:rsidRPr="00B10A71">
        <w:rPr>
          <w:color w:val="000000" w:themeColor="text1"/>
        </w:rPr>
        <w:t xml:space="preserve">Figure </w:t>
      </w:r>
      <w:r w:rsidRPr="00B10A71">
        <w:rPr>
          <w:color w:val="000000" w:themeColor="text1"/>
        </w:rPr>
        <w:fldChar w:fldCharType="begin"/>
      </w:r>
      <w:r w:rsidRPr="00B10A71">
        <w:rPr>
          <w:color w:val="000000" w:themeColor="text1"/>
        </w:rPr>
        <w:instrText xml:space="preserve"> SEQ Figure \* ARABIC </w:instrText>
      </w:r>
      <w:r w:rsidRPr="00B10A71">
        <w:rPr>
          <w:color w:val="000000" w:themeColor="text1"/>
        </w:rPr>
        <w:fldChar w:fldCharType="separate"/>
      </w:r>
      <w:r w:rsidR="00727B66">
        <w:rPr>
          <w:noProof/>
          <w:color w:val="000000" w:themeColor="text1"/>
        </w:rPr>
        <w:t>3</w:t>
      </w:r>
      <w:r w:rsidRPr="00B10A71">
        <w:rPr>
          <w:color w:val="000000" w:themeColor="text1"/>
        </w:rPr>
        <w:fldChar w:fldCharType="end"/>
      </w:r>
      <w:r w:rsidRPr="00B10A71">
        <w:rPr>
          <w:color w:val="000000" w:themeColor="text1"/>
        </w:rPr>
        <w:t xml:space="preserve">: Selected </w:t>
      </w:r>
      <w:r>
        <w:t>Consumer Price Inflation in % 2023</w:t>
      </w:r>
      <w:bookmarkEnd w:id="67"/>
    </w:p>
    <w:p w14:paraId="3E8303FF" w14:textId="5C0F4FF7" w:rsidR="00B10A71" w:rsidRDefault="00B10A71" w:rsidP="00B10A71">
      <w:pPr>
        <w:pStyle w:val="NumberedPara"/>
        <w:numPr>
          <w:ilvl w:val="0"/>
          <w:numId w:val="0"/>
        </w:numPr>
        <w:rPr>
          <w:lang w:val="en-US"/>
        </w:rPr>
      </w:pPr>
      <w:r>
        <w:rPr>
          <w:noProof/>
          <w:lang w:val="en-US"/>
        </w:rPr>
        <w:drawing>
          <wp:inline distT="0" distB="0" distL="0" distR="0" wp14:anchorId="527B91C4" wp14:editId="48CE9B11">
            <wp:extent cx="5818817" cy="3864334"/>
            <wp:effectExtent l="0" t="0" r="0" b="3175"/>
            <wp:docPr id="2094930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30443" name="Picture 2094930443"/>
                    <pic:cNvPicPr/>
                  </pic:nvPicPr>
                  <pic:blipFill rotWithShape="1">
                    <a:blip r:embed="rId21">
                      <a:extLst>
                        <a:ext uri="{28A0092B-C50C-407E-A947-70E740481C1C}">
                          <a14:useLocalDpi xmlns:a14="http://schemas.microsoft.com/office/drawing/2010/main" val="0"/>
                        </a:ext>
                      </a:extLst>
                    </a:blip>
                    <a:srcRect t="9008"/>
                    <a:stretch/>
                  </pic:blipFill>
                  <pic:spPr bwMode="auto">
                    <a:xfrm>
                      <a:off x="0" y="0"/>
                      <a:ext cx="5828679" cy="3870884"/>
                    </a:xfrm>
                    <a:prstGeom prst="rect">
                      <a:avLst/>
                    </a:prstGeom>
                    <a:ln>
                      <a:noFill/>
                    </a:ln>
                    <a:extLst>
                      <a:ext uri="{53640926-AAD7-44D8-BBD7-CCE9431645EC}">
                        <a14:shadowObscured xmlns:a14="http://schemas.microsoft.com/office/drawing/2010/main"/>
                      </a:ext>
                    </a:extLst>
                  </pic:spPr>
                </pic:pic>
              </a:graphicData>
            </a:graphic>
          </wp:inline>
        </w:drawing>
      </w:r>
    </w:p>
    <w:p w14:paraId="13B9569A" w14:textId="13E08380" w:rsidR="00B10A71" w:rsidRPr="00B10A71" w:rsidRDefault="00B10A71" w:rsidP="00E06112">
      <w:pPr>
        <w:pStyle w:val="CommentText"/>
        <w:rPr>
          <w:lang w:val="en-US"/>
        </w:rPr>
      </w:pPr>
      <w:r w:rsidRPr="00B10A71">
        <w:rPr>
          <w:i/>
          <w:sz w:val="16"/>
          <w:szCs w:val="16"/>
          <w:lang w:val="en-US"/>
        </w:rPr>
        <w:t xml:space="preserve">Source: </w:t>
      </w:r>
      <w:r w:rsidRPr="00B10A71">
        <w:rPr>
          <w:i/>
          <w:sz w:val="16"/>
          <w:szCs w:val="16"/>
        </w:rPr>
        <w:t>Focus Economist June 2023</w:t>
      </w:r>
    </w:p>
    <w:p w14:paraId="581C3724" w14:textId="56EC91DB" w:rsidR="006D1175" w:rsidRPr="006D1175" w:rsidRDefault="006D1175" w:rsidP="003B7FCB">
      <w:pPr>
        <w:pStyle w:val="NumberedPara"/>
        <w:tabs>
          <w:tab w:val="clear" w:pos="2127"/>
          <w:tab w:val="num" w:pos="2552"/>
        </w:tabs>
        <w:ind w:left="567"/>
        <w:rPr>
          <w:lang w:val="en-US"/>
        </w:rPr>
      </w:pPr>
      <w:r w:rsidRPr="006D1175">
        <w:rPr>
          <w:lang w:val="en-US"/>
        </w:rPr>
        <w:t>However, the rise in central bank rates to fight inflation and Russia’s war in Ukraine continue to weigh on economic activity. COVID-19 in China dampened growth in 2022, but the recent reopening has paved the way for a faster-than-expected recovery. Global inflation is expected to fall from 8.8</w:t>
      </w:r>
      <w:r w:rsidR="00397592">
        <w:rPr>
          <w:lang w:val="en-US"/>
        </w:rPr>
        <w:t>%</w:t>
      </w:r>
      <w:r w:rsidRPr="006D1175">
        <w:rPr>
          <w:lang w:val="en-US"/>
        </w:rPr>
        <w:t xml:space="preserve"> in 2022 to 6.6 percent in 2023 and 4.3 percent in 2024, still above pre-pandemic levels of about 3.5</w:t>
      </w:r>
      <w:r w:rsidR="00397592">
        <w:rPr>
          <w:lang w:val="en-US"/>
        </w:rPr>
        <w:t>%</w:t>
      </w:r>
      <w:r w:rsidRPr="006D1175">
        <w:rPr>
          <w:lang w:val="en-US"/>
        </w:rPr>
        <w:t xml:space="preserve">. </w:t>
      </w:r>
    </w:p>
    <w:p w14:paraId="32E0715F" w14:textId="06E341A1" w:rsidR="006D1175" w:rsidRPr="006D1175" w:rsidRDefault="006D1175" w:rsidP="003B7FCB">
      <w:pPr>
        <w:pStyle w:val="NumberedPara"/>
        <w:tabs>
          <w:tab w:val="clear" w:pos="2127"/>
          <w:tab w:val="num" w:pos="2552"/>
        </w:tabs>
        <w:ind w:left="567"/>
        <w:rPr>
          <w:lang w:val="en-US"/>
        </w:rPr>
      </w:pPr>
      <w:r w:rsidRPr="006D1175">
        <w:rPr>
          <w:lang w:val="en-US"/>
        </w:rPr>
        <w:t>The balance of risks remains tilted to the downside, but adverse risks have moderated since the October 2022 Global Economic Outlook (GEO). On the upside, a stronger boost from pent-up demand or a faster fall in inflation are plausible, while on the downside, severe health outcomes in China could hold back the recovery, Russia’s war in Ukraine could escalate, and tighter global financing costs could worsen debt distress.</w:t>
      </w:r>
    </w:p>
    <w:p w14:paraId="676A0EAB" w14:textId="77777777" w:rsidR="006D1175" w:rsidRPr="006D1175" w:rsidRDefault="006D1175" w:rsidP="003B7FCB">
      <w:pPr>
        <w:pStyle w:val="NumberedPara"/>
        <w:tabs>
          <w:tab w:val="clear" w:pos="2127"/>
          <w:tab w:val="num" w:pos="2552"/>
        </w:tabs>
        <w:ind w:left="567"/>
        <w:rPr>
          <w:lang w:val="en-US"/>
        </w:rPr>
      </w:pPr>
      <w:r w:rsidRPr="006D1175">
        <w:rPr>
          <w:lang w:val="en-US"/>
        </w:rPr>
        <w:t xml:space="preserve">Global inflation has been pushed higher by demand pressures, including those from the lagged effects of earlier policy support, and supply shocks, including disruptions to both global supply chains and the availability of key commodities. In some countries, inflation has also been spurred by large currency depreciations relative to the U.S. dollar, as well as tight labor market conditions.  </w:t>
      </w:r>
    </w:p>
    <w:p w14:paraId="227F96B8" w14:textId="3F8DB73C" w:rsidR="006D1175" w:rsidRPr="006D1175" w:rsidRDefault="006D1175" w:rsidP="003B7FCB">
      <w:pPr>
        <w:pStyle w:val="NumberedPara"/>
        <w:tabs>
          <w:tab w:val="clear" w:pos="2127"/>
          <w:tab w:val="num" w:pos="2552"/>
        </w:tabs>
        <w:ind w:left="567"/>
        <w:rPr>
          <w:lang w:val="en-US"/>
        </w:rPr>
      </w:pPr>
      <w:r w:rsidRPr="006D1175">
        <w:rPr>
          <w:lang w:val="en-US"/>
        </w:rPr>
        <w:t xml:space="preserve">Inflation remains high worldwide and well above central bank targets in almost all </w:t>
      </w:r>
      <w:r w:rsidR="002B4D48">
        <w:rPr>
          <w:lang w:val="en-US"/>
        </w:rPr>
        <w:t>inflation-targeting</w:t>
      </w:r>
      <w:r w:rsidRPr="006D1175">
        <w:rPr>
          <w:lang w:val="en-US"/>
        </w:rPr>
        <w:t xml:space="preserve"> economies. Although inflation is likely to gradually moderate over the course of the year, there are signs that underlying inflation pressures could be becoming more persistent. In response, central banks around the world have been tightening policy faster than previously expected. Monetary policy tightening in advanced economies, a strong U.S. dollar, geopolitical tensions, and high inflation have dampened risk appetite and led to widespread capital outflows and slowing bond issuance across emerging </w:t>
      </w:r>
      <w:r w:rsidR="002B4D48">
        <w:rPr>
          <w:lang w:val="en-US"/>
        </w:rPr>
        <w:t>markets</w:t>
      </w:r>
      <w:r w:rsidRPr="006D1175">
        <w:rPr>
          <w:lang w:val="en-US"/>
        </w:rPr>
        <w:t xml:space="preserve"> and developing </w:t>
      </w:r>
      <w:r w:rsidRPr="006D1175">
        <w:rPr>
          <w:lang w:val="en-US"/>
        </w:rPr>
        <w:lastRenderedPageBreak/>
        <w:t xml:space="preserve">economies (EMDEs). Financial conditions have particularly worsened for less creditworthy EMDEs, especially if they are also energy. </w:t>
      </w:r>
    </w:p>
    <w:p w14:paraId="16CE4335" w14:textId="77777777" w:rsidR="006D1175" w:rsidRPr="006D1175" w:rsidRDefault="006D1175" w:rsidP="003B7FCB">
      <w:pPr>
        <w:pStyle w:val="NumberedPara"/>
        <w:tabs>
          <w:tab w:val="clear" w:pos="2127"/>
          <w:tab w:val="num" w:pos="2552"/>
        </w:tabs>
        <w:ind w:left="567"/>
        <w:rPr>
          <w:rFonts w:cs="Tahoma"/>
          <w:szCs w:val="20"/>
        </w:rPr>
      </w:pPr>
      <w:r w:rsidRPr="006D1175">
        <w:rPr>
          <w:lang w:val="en-US"/>
        </w:rPr>
        <w:t xml:space="preserve">Fiscal space has narrowed considerably, and concerns over debt sustainability in many countries have risen as global financial conditions have made it more difficult to service debt loads that have accumulated rapidly in recent years, particularly during the pandemic. Nonetheless, many governments have announced new support measures to shield households </w:t>
      </w:r>
      <w:r w:rsidRPr="006D1175">
        <w:rPr>
          <w:rFonts w:cs="Tahoma"/>
          <w:szCs w:val="20"/>
          <w:lang w:val="en-US"/>
        </w:rPr>
        <w:t xml:space="preserve">and firms from the effects of sharply rising prices, slowing the pace of fiscal Strengthening as pandemic-related stimulus is withdrawn. </w:t>
      </w:r>
    </w:p>
    <w:p w14:paraId="5B78DFE2" w14:textId="56ACFB4C" w:rsidR="006D1175" w:rsidRDefault="006D1175" w:rsidP="003B7FCB">
      <w:pPr>
        <w:pStyle w:val="NumberedPara"/>
        <w:tabs>
          <w:tab w:val="clear" w:pos="2127"/>
          <w:tab w:val="num" w:pos="2552"/>
        </w:tabs>
        <w:ind w:left="567"/>
        <w:rPr>
          <w:rFonts w:cs="Tahoma"/>
          <w:szCs w:val="20"/>
        </w:rPr>
      </w:pPr>
      <w:r w:rsidRPr="006D1175">
        <w:rPr>
          <w:rFonts w:cs="Tahoma"/>
          <w:szCs w:val="20"/>
        </w:rPr>
        <w:t xml:space="preserve">Crude oil prices have steadily declined from their </w:t>
      </w:r>
      <w:r w:rsidR="002B4D48">
        <w:rPr>
          <w:rFonts w:cs="Tahoma"/>
          <w:szCs w:val="20"/>
        </w:rPr>
        <w:t>mid-2022</w:t>
      </w:r>
      <w:r w:rsidRPr="006D1175">
        <w:rPr>
          <w:rFonts w:cs="Tahoma"/>
          <w:szCs w:val="20"/>
        </w:rPr>
        <w:t xml:space="preserve"> peak; meanwhile, natural gas prices in Europe soared to an all-time high in August but have since fallen back toward pre-invasion levels. Non-energy prices, particularly metal prices, have declined alongside weak demand. While food prices have eased from earlier peaks, food price inflation remains very high in some EMDEs. </w:t>
      </w:r>
    </w:p>
    <w:p w14:paraId="2129B1DF" w14:textId="73F3CD65" w:rsidR="001C7195" w:rsidRPr="006D1175" w:rsidRDefault="001C7195" w:rsidP="0004484E">
      <w:pPr>
        <w:pStyle w:val="Heading3"/>
      </w:pPr>
      <w:bookmarkStart w:id="68" w:name="_Toc143179778"/>
      <w:commentRangeStart w:id="69"/>
      <w:r>
        <w:t>Commodities</w:t>
      </w:r>
      <w:commentRangeEnd w:id="69"/>
      <w:r>
        <w:rPr>
          <w:rStyle w:val="CommentReference"/>
          <w:rFonts w:cs="Times New Roman"/>
          <w:b w:val="0"/>
          <w:bCs w:val="0"/>
        </w:rPr>
        <w:commentReference w:id="69"/>
      </w:r>
      <w:bookmarkEnd w:id="68"/>
    </w:p>
    <w:p w14:paraId="42F86F2F" w14:textId="5AF56D35" w:rsidR="00AF0A9D" w:rsidRPr="000343FE" w:rsidRDefault="00AF0A9D" w:rsidP="00397592">
      <w:pPr>
        <w:pStyle w:val="NumberedPara"/>
        <w:tabs>
          <w:tab w:val="clear" w:pos="2127"/>
        </w:tabs>
        <w:ind w:left="567"/>
        <w:rPr>
          <w:rFonts w:cs="Tahoma"/>
          <w:szCs w:val="20"/>
        </w:rPr>
      </w:pPr>
      <w:r w:rsidRPr="000343FE">
        <w:rPr>
          <w:rFonts w:cs="Tahoma"/>
          <w:szCs w:val="20"/>
        </w:rPr>
        <w:t xml:space="preserve">The world oil demand growth estimate for </w:t>
      </w:r>
      <w:r w:rsidR="00C16E53" w:rsidRPr="000343FE">
        <w:rPr>
          <w:rFonts w:cs="Tahoma"/>
          <w:szCs w:val="20"/>
        </w:rPr>
        <w:t>June</w:t>
      </w:r>
      <w:r w:rsidR="00490E25" w:rsidRPr="000343FE">
        <w:rPr>
          <w:rFonts w:cs="Tahoma"/>
          <w:szCs w:val="20"/>
        </w:rPr>
        <w:t xml:space="preserve"> </w:t>
      </w:r>
      <w:r w:rsidRPr="000343FE">
        <w:rPr>
          <w:rFonts w:cs="Tahoma"/>
          <w:szCs w:val="20"/>
        </w:rPr>
        <w:t>2022 remains unchanged with y-o-y growth of 2.5 mb/d. For 2023, the forecast for world oil demand growth remains broadly unchanged at 2.3 mb/d. China, Latin America, and the Middle East have been revised up slightly, while OECD Europe, Other Asia and Africa have been adjusted slightly lower. The OECD is expected to grow by about 50 tb/d and the non-OECD by about 2.3 mb/d in 2023.</w:t>
      </w:r>
    </w:p>
    <w:p w14:paraId="4FCE35F7" w14:textId="234AA2BE" w:rsidR="00AF0A9D" w:rsidRPr="00AF0A9D" w:rsidRDefault="00AF0A9D" w:rsidP="00397592">
      <w:pPr>
        <w:pStyle w:val="NumberedPara"/>
        <w:tabs>
          <w:tab w:val="clear" w:pos="2127"/>
        </w:tabs>
        <w:ind w:left="567"/>
        <w:rPr>
          <w:rFonts w:cs="Tahoma"/>
          <w:szCs w:val="20"/>
        </w:rPr>
      </w:pPr>
      <w:r w:rsidRPr="00AF0A9D">
        <w:rPr>
          <w:rFonts w:cs="Tahoma"/>
          <w:szCs w:val="20"/>
        </w:rPr>
        <w:t xml:space="preserve">In May, the OPEC Reference Basket (ORB) value declined by 9.9% to $75.82/b, largely offset by a rise in official selling prices in all regions. Crude oil futures prices experienced a heavy selloff, with hedge funds and money managers cutting net long positions by about 120 mb. This led to price volatility and a drop in futures prices. The front end of major futures contracts ICE Brent, NYMEX WTI, and DME Oman weakened, </w:t>
      </w:r>
      <w:r w:rsidR="00146249" w:rsidRPr="00AF0A9D">
        <w:rPr>
          <w:rFonts w:cs="Tahoma"/>
          <w:szCs w:val="20"/>
        </w:rPr>
        <w:t>signalling</w:t>
      </w:r>
      <w:r w:rsidRPr="00AF0A9D">
        <w:rPr>
          <w:rFonts w:cs="Tahoma"/>
          <w:szCs w:val="20"/>
        </w:rPr>
        <w:t xml:space="preserve"> a deteriorating economic and oil demand outlook. Selling pressure was more pronounced in nearest futures contracts compared to forwards contracts. The premium of light sweet</w:t>
      </w:r>
      <w:r w:rsidR="00146249">
        <w:rPr>
          <w:rFonts w:cs="Tahoma"/>
          <w:szCs w:val="20"/>
        </w:rPr>
        <w:t xml:space="preserve"> (</w:t>
      </w:r>
      <w:proofErr w:type="gramStart"/>
      <w:r w:rsidR="001479CC">
        <w:rPr>
          <w:rFonts w:cs="Tahoma"/>
          <w:szCs w:val="20"/>
        </w:rPr>
        <w:t>e.g.</w:t>
      </w:r>
      <w:proofErr w:type="gramEnd"/>
      <w:r w:rsidR="00146249">
        <w:rPr>
          <w:rFonts w:cs="Tahoma"/>
          <w:szCs w:val="20"/>
        </w:rPr>
        <w:t xml:space="preserve"> Nigeria’s Bonny Light)</w:t>
      </w:r>
      <w:r w:rsidRPr="00AF0A9D">
        <w:rPr>
          <w:rFonts w:cs="Tahoma"/>
          <w:szCs w:val="20"/>
        </w:rPr>
        <w:t xml:space="preserve"> to medium sour crudes continued to narrow in all major regions, with weaker light sweet crude market fundamentals and a narrower spread between light/medium distillates and heavy distillate product margins.</w:t>
      </w:r>
    </w:p>
    <w:p w14:paraId="34F9210B" w14:textId="77777777" w:rsidR="00AF0A9D" w:rsidRDefault="00AF0A9D" w:rsidP="00397592">
      <w:pPr>
        <w:pStyle w:val="NumberedPara"/>
        <w:tabs>
          <w:tab w:val="clear" w:pos="2127"/>
        </w:tabs>
        <w:ind w:left="567"/>
        <w:rPr>
          <w:rFonts w:cs="Tahoma"/>
          <w:szCs w:val="20"/>
        </w:rPr>
      </w:pPr>
      <w:r w:rsidRPr="00AF0A9D">
        <w:rPr>
          <w:rFonts w:cs="Tahoma"/>
          <w:szCs w:val="20"/>
        </w:rPr>
        <w:t>Crude spot prices fell sharply in May, with the North Sea Dated benchmark dropping the most. Selloffs, high oil supply availability, uncertain demand, and mixed refining margins impacted North Sea Dated value. Soft buying interest from Asian buyers and declining diesel margins contributed to weakening oil prices.</w:t>
      </w:r>
    </w:p>
    <w:p w14:paraId="5386D14E" w14:textId="554AF8EF" w:rsidR="00146249" w:rsidRDefault="00146249" w:rsidP="001479CC">
      <w:pPr>
        <w:pStyle w:val="Caption"/>
        <w:rPr>
          <w:rFonts w:cs="Tahoma"/>
        </w:rPr>
      </w:pPr>
      <w:bookmarkStart w:id="70" w:name="_Toc143179908"/>
      <w:r>
        <w:t xml:space="preserve">Figure </w:t>
      </w:r>
      <w:r>
        <w:fldChar w:fldCharType="begin"/>
      </w:r>
      <w:r>
        <w:instrText xml:space="preserve"> SEQ Figure \* ARABIC </w:instrText>
      </w:r>
      <w:r>
        <w:fldChar w:fldCharType="separate"/>
      </w:r>
      <w:r w:rsidR="00727B66">
        <w:rPr>
          <w:noProof/>
        </w:rPr>
        <w:t>4</w:t>
      </w:r>
      <w:r>
        <w:fldChar w:fldCharType="end"/>
      </w:r>
      <w:r w:rsidR="00727B66">
        <w:t>:</w:t>
      </w:r>
      <w:r>
        <w:t xml:space="preserve"> Historical Bonny Light Crude Price</w:t>
      </w:r>
      <w:bookmarkEnd w:id="70"/>
    </w:p>
    <w:p w14:paraId="7CE5B445" w14:textId="754F235F" w:rsidR="00146249" w:rsidRDefault="00146249" w:rsidP="005A0A9E">
      <w:pPr>
        <w:pStyle w:val="NumberedPara"/>
        <w:numPr>
          <w:ilvl w:val="0"/>
          <w:numId w:val="0"/>
        </w:numPr>
        <w:ind w:left="2127" w:right="659" w:hanging="1857"/>
        <w:jc w:val="center"/>
        <w:rPr>
          <w:rFonts w:cs="Tahoma"/>
          <w:szCs w:val="20"/>
        </w:rPr>
      </w:pPr>
      <w:r w:rsidRPr="00146249">
        <w:rPr>
          <w:noProof/>
        </w:rPr>
        <w:drawing>
          <wp:inline distT="0" distB="0" distL="0" distR="0" wp14:anchorId="6B1F74FB" wp14:editId="0ED6B503">
            <wp:extent cx="4662488" cy="2626136"/>
            <wp:effectExtent l="0" t="0" r="5080" b="3175"/>
            <wp:docPr id="38673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0892" cy="2630870"/>
                    </a:xfrm>
                    <a:prstGeom prst="rect">
                      <a:avLst/>
                    </a:prstGeom>
                    <a:noFill/>
                    <a:ln>
                      <a:noFill/>
                    </a:ln>
                  </pic:spPr>
                </pic:pic>
              </a:graphicData>
            </a:graphic>
          </wp:inline>
        </w:drawing>
      </w:r>
    </w:p>
    <w:p w14:paraId="766146C4" w14:textId="6D356AF3" w:rsidR="005A0A9E" w:rsidRPr="001479CC" w:rsidRDefault="005A0A9E" w:rsidP="001479CC">
      <w:pPr>
        <w:pStyle w:val="CommentText"/>
        <w:rPr>
          <w:i/>
          <w:sz w:val="16"/>
          <w:szCs w:val="16"/>
          <w:lang w:val="en-US"/>
        </w:rPr>
      </w:pPr>
      <w:r w:rsidRPr="001479CC">
        <w:rPr>
          <w:i/>
          <w:sz w:val="16"/>
          <w:szCs w:val="16"/>
          <w:lang w:val="en-US"/>
        </w:rPr>
        <w:t>Source: OPEC MOMR</w:t>
      </w:r>
    </w:p>
    <w:p w14:paraId="54757471" w14:textId="76D1F42C" w:rsidR="00AF0A9D" w:rsidRPr="00AF0A9D" w:rsidRDefault="00AF0A9D" w:rsidP="00397592">
      <w:pPr>
        <w:pStyle w:val="NumberedPara"/>
        <w:tabs>
          <w:tab w:val="clear" w:pos="2127"/>
        </w:tabs>
        <w:ind w:left="567"/>
        <w:rPr>
          <w:rFonts w:cs="Tahoma"/>
          <w:szCs w:val="20"/>
        </w:rPr>
      </w:pPr>
      <w:r w:rsidRPr="00AF0A9D">
        <w:rPr>
          <w:rFonts w:cs="Tahoma"/>
          <w:szCs w:val="20"/>
        </w:rPr>
        <w:lastRenderedPageBreak/>
        <w:t>Despite the overall bearish sentiment, however, some factors provided support to spot prices. A large drop in US crude oil stocks in the week of 16 May provided some relief to the market. Additionally, renewed demand from French refiners and a wildfire outbreak in Canada, which reduced exports to the US, contributed to putting a floor under spot prices</w:t>
      </w:r>
      <w:r w:rsidR="00727B66">
        <w:rPr>
          <w:rFonts w:cs="Tahoma"/>
          <w:szCs w:val="20"/>
        </w:rPr>
        <w:t>.</w:t>
      </w:r>
    </w:p>
    <w:p w14:paraId="3900FDE6" w14:textId="77777777" w:rsidR="00AF0A9D" w:rsidRPr="00AF0A9D" w:rsidRDefault="00AF0A9D" w:rsidP="00397592">
      <w:pPr>
        <w:pStyle w:val="NumberedPara"/>
        <w:tabs>
          <w:tab w:val="clear" w:pos="2127"/>
        </w:tabs>
        <w:ind w:left="567"/>
        <w:rPr>
          <w:rFonts w:cs="Tahoma"/>
          <w:szCs w:val="20"/>
        </w:rPr>
      </w:pPr>
      <w:r w:rsidRPr="00AF0A9D">
        <w:rPr>
          <w:rFonts w:cs="Tahoma"/>
          <w:szCs w:val="20"/>
        </w:rPr>
        <w:t xml:space="preserve">In May, North Sea </w:t>
      </w:r>
      <w:proofErr w:type="spellStart"/>
      <w:r w:rsidRPr="00AF0A9D">
        <w:rPr>
          <w:rFonts w:cs="Tahoma"/>
          <w:szCs w:val="20"/>
        </w:rPr>
        <w:t>Dated's</w:t>
      </w:r>
      <w:proofErr w:type="spellEnd"/>
      <w:r w:rsidRPr="00AF0A9D">
        <w:rPr>
          <w:rFonts w:cs="Tahoma"/>
          <w:szCs w:val="20"/>
        </w:rPr>
        <w:t xml:space="preserve"> value narrowed by $1.41 to a 12¢/b premium, indicating softer market fundamentals. All physical crude oil benchmarks declined, with North Sea Dated falling the most, dropping by 10.7% to $75.82/b.</w:t>
      </w:r>
    </w:p>
    <w:p w14:paraId="49C284CF" w14:textId="77777777" w:rsidR="00397592" w:rsidRDefault="00AF0A9D" w:rsidP="00397592">
      <w:pPr>
        <w:pStyle w:val="NumberedPara"/>
        <w:tabs>
          <w:tab w:val="clear" w:pos="2127"/>
        </w:tabs>
        <w:ind w:left="567"/>
        <w:rPr>
          <w:rFonts w:cs="Tahoma"/>
          <w:szCs w:val="20"/>
        </w:rPr>
      </w:pPr>
      <w:r w:rsidRPr="00AF0A9D">
        <w:rPr>
          <w:rFonts w:cs="Tahoma"/>
          <w:szCs w:val="20"/>
        </w:rPr>
        <w:t>Crude oil differentials were mixed in May due to softer European and Asian demand and west-to-east arbitrage. North Sea crude differentials weakened due to lower European demand, higher availability, and light distillate product margins. Forties and Ekofisk crude differentials declined, while Johan Sverdrup's differential strengthened against North Sea Dated due to firm demand.</w:t>
      </w:r>
    </w:p>
    <w:p w14:paraId="034DA34B" w14:textId="7DACD755" w:rsidR="00C16E53" w:rsidRPr="00C16E53" w:rsidRDefault="00AF0A9D" w:rsidP="00397592">
      <w:pPr>
        <w:pStyle w:val="NumberedPara"/>
        <w:tabs>
          <w:tab w:val="clear" w:pos="2127"/>
          <w:tab w:val="num" w:pos="1135"/>
        </w:tabs>
        <w:ind w:left="567"/>
        <w:rPr>
          <w:rFonts w:cs="Tahoma"/>
          <w:szCs w:val="20"/>
        </w:rPr>
      </w:pPr>
      <w:r w:rsidRPr="00397592">
        <w:rPr>
          <w:rFonts w:cs="Tahoma"/>
          <w:szCs w:val="20"/>
        </w:rPr>
        <w:t xml:space="preserve">West African crude differentials rose in May due to strong Asian demand and improved west-to-east arbitrage. Brent-related crude became more attractive in the east-Suez market, with Bonny Light, </w:t>
      </w:r>
      <w:proofErr w:type="spellStart"/>
      <w:r w:rsidRPr="00397592">
        <w:rPr>
          <w:rFonts w:cs="Tahoma"/>
          <w:szCs w:val="20"/>
        </w:rPr>
        <w:t>Forcados</w:t>
      </w:r>
      <w:proofErr w:type="spellEnd"/>
      <w:r w:rsidRPr="00397592">
        <w:rPr>
          <w:rFonts w:cs="Tahoma"/>
          <w:szCs w:val="20"/>
        </w:rPr>
        <w:t xml:space="preserve">, and Qua </w:t>
      </w:r>
      <w:proofErr w:type="spellStart"/>
      <w:r w:rsidRPr="00397592">
        <w:rPr>
          <w:rFonts w:cs="Tahoma"/>
          <w:szCs w:val="20"/>
        </w:rPr>
        <w:t>Iboe</w:t>
      </w:r>
      <w:proofErr w:type="spellEnd"/>
      <w:r w:rsidRPr="00397592">
        <w:rPr>
          <w:rFonts w:cs="Tahoma"/>
          <w:szCs w:val="20"/>
        </w:rPr>
        <w:t xml:space="preserve"> crude differentials at premiums of 38¢/b, 66¢/b, and 43¢/b. Saharan Blend crude differentials strengthened, while Caspian light sour CPC Blend crude rose by 6¢ to a $2.67/b discount</w:t>
      </w:r>
      <w:bookmarkStart w:id="71" w:name="_Toc106568610"/>
      <w:r w:rsidR="00E209DE">
        <w:rPr>
          <w:rFonts w:cs="Tahoma"/>
          <w:szCs w:val="20"/>
        </w:rPr>
        <w:t xml:space="preserve"> in </w:t>
      </w:r>
      <w:r w:rsidR="00C96874" w:rsidRPr="00B14A4B">
        <w:t>Sub-Saharan Africa</w:t>
      </w:r>
      <w:bookmarkEnd w:id="71"/>
      <w:r w:rsidR="00C16E53">
        <w:t xml:space="preserve">. </w:t>
      </w:r>
    </w:p>
    <w:p w14:paraId="12B089A7" w14:textId="10FE0FB2" w:rsidR="00C96874" w:rsidRPr="00397592" w:rsidRDefault="00C16E53" w:rsidP="00C16E53">
      <w:pPr>
        <w:pStyle w:val="NumberedPara"/>
        <w:numPr>
          <w:ilvl w:val="0"/>
          <w:numId w:val="0"/>
        </w:numPr>
        <w:ind w:left="567"/>
        <w:rPr>
          <w:rFonts w:cs="Tahoma"/>
          <w:szCs w:val="20"/>
        </w:rPr>
      </w:pPr>
      <w:r>
        <w:t>Source</w:t>
      </w:r>
      <w:r w:rsidR="00E209DE">
        <w:t>:</w:t>
      </w:r>
      <w:r>
        <w:t xml:space="preserve"> MOMR June 2023.</w:t>
      </w:r>
    </w:p>
    <w:p w14:paraId="687E97CD" w14:textId="6BFC89F1" w:rsidR="001C7195" w:rsidRPr="001C7195" w:rsidRDefault="00146249" w:rsidP="001C7195">
      <w:pPr>
        <w:pStyle w:val="Heading3"/>
      </w:pPr>
      <w:bookmarkStart w:id="72" w:name="_Toc143179779"/>
      <w:r>
        <w:t xml:space="preserve">Sub-Saharan Africa Economic </w:t>
      </w:r>
      <w:r w:rsidR="001C7195">
        <w:t>Overview</w:t>
      </w:r>
      <w:bookmarkEnd w:id="72"/>
    </w:p>
    <w:p w14:paraId="2E4CB1FE" w14:textId="77777777" w:rsidR="006D1175" w:rsidRDefault="006D1175" w:rsidP="00397592">
      <w:pPr>
        <w:pStyle w:val="NumberedPara"/>
        <w:tabs>
          <w:tab w:val="clear" w:pos="2127"/>
        </w:tabs>
        <w:ind w:left="567"/>
      </w:pPr>
      <w:r>
        <w:t xml:space="preserve">A funding squeeze has hit the region hard. Persistent global inflation and tighter monetary policies have led to higher borrowing costs for sub-Saharan African countries and have placed greater pressure on exchange rates. Indeed, no country has been able to issue a Eurobond since spring 2022. The funding squeeze aggravates a protracted trend that has been years in the making. The interest burden on public debt is rising, because of a greater reliance on expensive market-based funding combined with a long-term decline in aid budgets. </w:t>
      </w:r>
    </w:p>
    <w:p w14:paraId="4F5518EA" w14:textId="1B5CD013" w:rsidR="006D1175" w:rsidRDefault="006D1175" w:rsidP="00397592">
      <w:pPr>
        <w:pStyle w:val="NumberedPara"/>
        <w:tabs>
          <w:tab w:val="clear" w:pos="2127"/>
        </w:tabs>
        <w:ind w:left="567"/>
      </w:pPr>
      <w:r>
        <w:t>The lack of financing affects a region that is already struggling with elevated macroeconomic imbalances. Public debt and inflation are at levels not seen in decades, with double-digit inflation present in half of countries—eroding household purchasing power, striking at the most vulnerable, and adding to social pressures. Estimates suggest that 132 million people were acutely food-insecure in 2022. In this context, the economic recovery has been interrupted. Growth in sub-Saharan Africa will decline to 3.6 percent.</w:t>
      </w:r>
    </w:p>
    <w:p w14:paraId="0EA9B954" w14:textId="77777777" w:rsidR="006D1175" w:rsidRDefault="006D1175" w:rsidP="00397592">
      <w:pPr>
        <w:pStyle w:val="NumberedPara"/>
        <w:tabs>
          <w:tab w:val="clear" w:pos="2127"/>
        </w:tabs>
        <w:ind w:left="567"/>
      </w:pPr>
      <w:r>
        <w:t>in 2023. Amid a global slowdown, activity is expected to decelerate for a second year in a row. Still, this headline figure masks significant variation across the region. Many countries will register a small pickup in growth this year, especially non-resource-intensive economies, but the regional average will be weighed down by sluggish growth in some key economies, such as South Africa.</w:t>
      </w:r>
    </w:p>
    <w:p w14:paraId="203789B5" w14:textId="685837AD" w:rsidR="006D1175" w:rsidRDefault="006D1175" w:rsidP="00397592">
      <w:pPr>
        <w:pStyle w:val="NumberedPara"/>
        <w:tabs>
          <w:tab w:val="clear" w:pos="2127"/>
        </w:tabs>
        <w:ind w:left="567"/>
      </w:pPr>
      <w:r>
        <w:t>The funding squeeze will also impact the region’s longer-term outlook. A shortage of funding may force countries to reduce resources for critical development sectors like health, education, and infrastructure, weakening the region’s growth potential. Four policy priorities can help address the macroeconomic imbalances in the context of current financing constraints: Consolidating public finances and strengthening public financial management amid difficult funding conditions. This will rely on continued revenue mobilization, better management of fiscal risks, and more proactive debt management. International assistance remains also critical to alleviating governments’ financing constraints. For countries that require debt reprofiling or restructuring, a well-functioning debt-resolution framework is vital to creating fiscal space. Containing inflation. Monetary policy should be steered cautiously until inflation is firmly on a downward trajectory and projected to return to the central bank</w:t>
      </w:r>
      <w:r>
        <w:rPr>
          <w:rFonts w:cs="Tahoma"/>
        </w:rPr>
        <w:t>’</w:t>
      </w:r>
      <w:r>
        <w:t>s target range. Allowing the exchange rate to adjust, while mitigating the adverse effects on the economy, including the rise in inflation and debt due to the currency depreciations. Ensuring that important efforts to fund and address climate change do not crowd out basic needs, like health and education. Climate finance provided by the international community must come on top of current aid flows.</w:t>
      </w:r>
    </w:p>
    <w:p w14:paraId="0DAAB574" w14:textId="52A735C7" w:rsidR="006D1175" w:rsidRDefault="006D1175" w:rsidP="00397592">
      <w:pPr>
        <w:pStyle w:val="NumberedPara"/>
        <w:tabs>
          <w:tab w:val="clear" w:pos="2127"/>
        </w:tabs>
        <w:ind w:left="567"/>
      </w:pPr>
      <w:r>
        <w:lastRenderedPageBreak/>
        <w:t>A separate series of analytical notes are provided on topics of current interest. “Geo-Economic Fragmentation: Sub-Saharan Africa Caught Between the Fault Lines” demonstrates that sub-Saharan Africa stands to lose the most in a severely fragmented world and stresses the need for building resilience. “Managing Exchange Rate Pressures in Sub-Saharan Africa: Adapting to New Realities” outlines the drivers and consequences of recent exchange-rate pressures and discusses policies to help soften the impact on the region’s economies. “Closing the Gap: Concessional Climate Finance and Sub-Saharan Africa” considers the critical need for concessional finance in helping the region address climate change and explores ways in which additional flows might be unlocked.</w:t>
      </w:r>
    </w:p>
    <w:p w14:paraId="73368E3F" w14:textId="1B706660" w:rsidR="00252FE9" w:rsidRDefault="006D1175" w:rsidP="004A0E79">
      <w:pPr>
        <w:pStyle w:val="NumberedPara"/>
        <w:tabs>
          <w:tab w:val="clear" w:pos="2127"/>
          <w:tab w:val="num" w:pos="1135"/>
        </w:tabs>
        <w:ind w:left="567"/>
      </w:pPr>
      <w:r>
        <w:t>Most currencies in the region depreciated against the US dollar in 2022. For those already grappling with high inflation, the weakening of the currency relative to the dollar made matters even worse because the region is highly dependent on imports with a significant share of them invoiced in dollars. Currency depreciations also contributed to higher general government debt because about 40 percent of sub-Saharan Africa’s debt is external as of 2021. Although exchange rate pressures have eased since November 2022—in some cases because significant depreciations have already taken place—they remain elevated and volatile.</w:t>
      </w:r>
    </w:p>
    <w:p w14:paraId="21715C0B" w14:textId="356295A5" w:rsidR="00252FE9" w:rsidRPr="008B4B1C" w:rsidRDefault="001C7195" w:rsidP="00904B46">
      <w:pPr>
        <w:pStyle w:val="Heading3"/>
      </w:pPr>
      <w:bookmarkStart w:id="73" w:name="_Toc143179780"/>
      <w:r>
        <w:t>Disruption of Economic Recovery</w:t>
      </w:r>
      <w:bookmarkEnd w:id="73"/>
    </w:p>
    <w:p w14:paraId="41CA1588" w14:textId="699EFB7A" w:rsidR="006D1175" w:rsidRDefault="006D1175" w:rsidP="00397592">
      <w:pPr>
        <w:pStyle w:val="NumberedPara"/>
        <w:tabs>
          <w:tab w:val="clear" w:pos="2127"/>
        </w:tabs>
        <w:ind w:left="567"/>
      </w:pPr>
      <w:r>
        <w:t>Given this challenging environment, the region’s growth will decline to 3.6 percent in 2023 from 3.9 percent in 2022 following the strong rebound of 2021. This subdued outlook in sub-Saharan Africa marks a growth slowdown, the second year in a row. Some common factors explain the growth underperformance, including the rise in central bank rates to fight inflation and the war in Ukraine dampening global economic activity and thus, export demand for the region. Nonetheless</w:t>
      </w:r>
      <w:r w:rsidR="00E209DE">
        <w:t>,</w:t>
      </w:r>
      <w:r>
        <w:t xml:space="preserve"> there are large variations across the region. Niger, the Democratic Republic of the Congo, and Senegal are on the higher end of the region’s growth distribution, with this year’s coming online of oil and gas in those countries expected to contribute significantly to higher GDP growth. </w:t>
      </w:r>
    </w:p>
    <w:p w14:paraId="56B5E8AF" w14:textId="765CF516" w:rsidR="00B1718A" w:rsidRDefault="006D1175" w:rsidP="00397592">
      <w:pPr>
        <w:pStyle w:val="NumberedPara"/>
        <w:tabs>
          <w:tab w:val="clear" w:pos="2127"/>
        </w:tabs>
        <w:ind w:left="567"/>
      </w:pPr>
      <w:r>
        <w:t>On the opposite end, the significant economic contraction in Equatorial Guinea is a result of a decline in oil production. Meanwhile, South Africa’s growth is projected to decelerate sharply to 0.1 percent in 2023, weighed down by an intensification of power outages, a weaker external environment, and a negative carry-over effect from the growth slowdown at the end of 2022.</w:t>
      </w:r>
    </w:p>
    <w:p w14:paraId="3DE958FA" w14:textId="320A4A05" w:rsidR="006D1175" w:rsidRDefault="00B1718A" w:rsidP="006D1175">
      <w:pPr>
        <w:pStyle w:val="Caption"/>
        <w:spacing w:before="0" w:after="0"/>
      </w:pPr>
      <w:bookmarkStart w:id="74" w:name="_Ref107391795"/>
      <w:bookmarkStart w:id="75" w:name="_Toc107777889"/>
      <w:bookmarkStart w:id="76" w:name="_Toc143179909"/>
      <w:r>
        <w:t xml:space="preserve">Figure </w:t>
      </w:r>
      <w:r>
        <w:fldChar w:fldCharType="begin"/>
      </w:r>
      <w:r>
        <w:instrText xml:space="preserve"> SEQ Figure \* ARABIC </w:instrText>
      </w:r>
      <w:r>
        <w:fldChar w:fldCharType="separate"/>
      </w:r>
      <w:r w:rsidR="00727B66">
        <w:rPr>
          <w:noProof/>
        </w:rPr>
        <w:t>5</w:t>
      </w:r>
      <w:r>
        <w:fldChar w:fldCharType="end"/>
      </w:r>
      <w:r>
        <w:t xml:space="preserve">: </w:t>
      </w:r>
      <w:bookmarkEnd w:id="74"/>
      <w:bookmarkEnd w:id="75"/>
      <w:r w:rsidR="006D1175" w:rsidRPr="006D1175">
        <w:t>Sub-Saharan Africa: Real GDP Growth, 2023</w:t>
      </w:r>
      <w:bookmarkEnd w:id="76"/>
      <w:r w:rsidR="006D1175" w:rsidRPr="006D1175">
        <w:t xml:space="preserve"> </w:t>
      </w:r>
    </w:p>
    <w:p w14:paraId="16F3DA74" w14:textId="2A489783" w:rsidR="00B1718A" w:rsidRDefault="006D1175" w:rsidP="006D1175">
      <w:pPr>
        <w:pStyle w:val="Caption"/>
        <w:spacing w:before="0" w:after="0"/>
      </w:pPr>
      <w:r w:rsidRPr="006D1175">
        <w:t>(Percent, fragile countries in red)</w:t>
      </w:r>
    </w:p>
    <w:p w14:paraId="28BB100C" w14:textId="03201B46" w:rsidR="00B1718A" w:rsidRDefault="006D1175" w:rsidP="006D1175">
      <w:pPr>
        <w:jc w:val="center"/>
      </w:pPr>
      <w:r>
        <w:rPr>
          <w:noProof/>
          <w:lang w:val="en-US" w:eastAsia="en-US"/>
        </w:rPr>
        <w:drawing>
          <wp:inline distT="0" distB="0" distL="0" distR="0" wp14:anchorId="3926F8FB" wp14:editId="439B7934">
            <wp:extent cx="4339817" cy="1749287"/>
            <wp:effectExtent l="0" t="0" r="3810" b="3810"/>
            <wp:docPr id="1797529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6082" cy="1759874"/>
                    </a:xfrm>
                    <a:prstGeom prst="rect">
                      <a:avLst/>
                    </a:prstGeom>
                    <a:noFill/>
                  </pic:spPr>
                </pic:pic>
              </a:graphicData>
            </a:graphic>
          </wp:inline>
        </w:drawing>
      </w:r>
    </w:p>
    <w:p w14:paraId="2DF57D49" w14:textId="3EBB202A" w:rsidR="006D1175" w:rsidRDefault="006D1175" w:rsidP="006D1175">
      <w:pPr>
        <w:rPr>
          <w:i/>
          <w:sz w:val="16"/>
          <w:szCs w:val="16"/>
          <w:lang w:val="en-US"/>
        </w:rPr>
      </w:pPr>
      <w:bookmarkStart w:id="77" w:name="_Hlk135121134"/>
      <w:r w:rsidRPr="006D1175">
        <w:rPr>
          <w:i/>
          <w:sz w:val="16"/>
          <w:szCs w:val="16"/>
          <w:lang w:val="en-US"/>
        </w:rPr>
        <w:t>Source: IMF, World Economic Outlook database</w:t>
      </w:r>
      <w:r w:rsidR="00490E25">
        <w:rPr>
          <w:i/>
          <w:sz w:val="16"/>
          <w:szCs w:val="16"/>
          <w:lang w:val="en-US"/>
        </w:rPr>
        <w:t>, April 2023</w:t>
      </w:r>
    </w:p>
    <w:p w14:paraId="3638453E" w14:textId="2213BA1A" w:rsidR="00D30BFC" w:rsidRPr="008B4B1C" w:rsidRDefault="001C7195" w:rsidP="00904B46">
      <w:pPr>
        <w:pStyle w:val="Heading3"/>
      </w:pPr>
      <w:bookmarkStart w:id="78" w:name="_Toc143179781"/>
      <w:bookmarkEnd w:id="77"/>
      <w:r>
        <w:rPr>
          <w:rStyle w:val="Heading5Char"/>
          <w:b/>
          <w:bCs/>
        </w:rPr>
        <w:t>Undermining Economic and Development Prospects</w:t>
      </w:r>
      <w:bookmarkEnd w:id="78"/>
    </w:p>
    <w:p w14:paraId="41430BDC" w14:textId="77777777" w:rsidR="006D1175" w:rsidRDefault="006D1175" w:rsidP="004A0E79">
      <w:pPr>
        <w:pStyle w:val="NumberedPara"/>
        <w:tabs>
          <w:tab w:val="clear" w:pos="2127"/>
          <w:tab w:val="num" w:pos="2694"/>
        </w:tabs>
        <w:ind w:left="567"/>
      </w:pPr>
      <w:r>
        <w:t xml:space="preserve">Unlike many major advanced economies, countries in sub-Saharan Africa had limited fiscal space entering the pandemic recession, hampering policymakers’ ability to mount an effective response. This has resulted in larger scarring effects on the economy, including from disruptions to education. The current funding squeeze is constraining many countries’ ability to address these scars, contributing to the muted recovery. </w:t>
      </w:r>
    </w:p>
    <w:p w14:paraId="6357D0AC" w14:textId="5292B8FE" w:rsidR="006D1175" w:rsidRDefault="006D1175" w:rsidP="004A0E79">
      <w:pPr>
        <w:pStyle w:val="NumberedPara"/>
        <w:tabs>
          <w:tab w:val="clear" w:pos="2127"/>
          <w:tab w:val="num" w:pos="2694"/>
        </w:tabs>
        <w:ind w:left="567"/>
      </w:pPr>
      <w:r>
        <w:lastRenderedPageBreak/>
        <w:t xml:space="preserve">Moreover, authorities are forced to reduce resources for critical development sectors such as health, education, and infrastructure, weakening the region’s medium-term growth prospects. Partly for these reasons, the catch-up in growth has remained elusive, with GDP per capita remaining stubbornly below </w:t>
      </w:r>
      <w:r w:rsidR="0019186A">
        <w:t xml:space="preserve">the </w:t>
      </w:r>
      <w:r>
        <w:t>pre-pandemic trend.</w:t>
      </w:r>
    </w:p>
    <w:p w14:paraId="0CBA785C" w14:textId="59E7FCF1" w:rsidR="006D1175" w:rsidRPr="006D1175" w:rsidRDefault="007A1B27" w:rsidP="007A1B27">
      <w:pPr>
        <w:pStyle w:val="Caption"/>
      </w:pPr>
      <w:bookmarkStart w:id="79" w:name="_Ref107392361"/>
      <w:bookmarkStart w:id="80" w:name="_Toc107777890"/>
      <w:bookmarkStart w:id="81" w:name="_Hlk135122485"/>
      <w:bookmarkStart w:id="82" w:name="_Toc143179910"/>
      <w:r w:rsidRPr="006D1175">
        <w:t xml:space="preserve">Figure </w:t>
      </w:r>
      <w:r w:rsidRPr="006D1175">
        <w:fldChar w:fldCharType="begin"/>
      </w:r>
      <w:r w:rsidRPr="006D1175">
        <w:instrText xml:space="preserve"> SEQ Figure \* ARABIC </w:instrText>
      </w:r>
      <w:r w:rsidRPr="006D1175">
        <w:fldChar w:fldCharType="separate"/>
      </w:r>
      <w:r w:rsidR="00727B66">
        <w:rPr>
          <w:noProof/>
        </w:rPr>
        <w:t>6</w:t>
      </w:r>
      <w:r w:rsidRPr="006D1175">
        <w:fldChar w:fldCharType="end"/>
      </w:r>
      <w:bookmarkEnd w:id="79"/>
      <w:r w:rsidRPr="006D1175">
        <w:t xml:space="preserve">: </w:t>
      </w:r>
      <w:bookmarkEnd w:id="80"/>
      <w:r w:rsidR="006D1175" w:rsidRPr="006D1175">
        <w:t xml:space="preserve">Real </w:t>
      </w:r>
      <w:bookmarkEnd w:id="81"/>
      <w:r w:rsidR="006D1175" w:rsidRPr="006D1175">
        <w:t>GDP per Capita, 2019–24</w:t>
      </w:r>
      <w:bookmarkEnd w:id="82"/>
      <w:r w:rsidR="006D1175" w:rsidRPr="006D1175">
        <w:t xml:space="preserve"> </w:t>
      </w:r>
    </w:p>
    <w:p w14:paraId="5EE8BD24" w14:textId="61CFC602" w:rsidR="007A1B27" w:rsidRPr="006D1175" w:rsidRDefault="006D1175" w:rsidP="007A1B27">
      <w:pPr>
        <w:pStyle w:val="Caption"/>
      </w:pPr>
      <w:r w:rsidRPr="006D1175">
        <w:t xml:space="preserve">(2019 = 100, </w:t>
      </w:r>
      <w:r w:rsidR="0019186A">
        <w:t xml:space="preserve">the </w:t>
      </w:r>
      <w:r w:rsidRPr="006D1175">
        <w:t>dashed line indicates pre-crisis trend)</w:t>
      </w:r>
    </w:p>
    <w:p w14:paraId="11AEEA3F" w14:textId="0EFEFEAF" w:rsidR="007A1B27" w:rsidRDefault="006D1175" w:rsidP="007A1B27">
      <w:pPr>
        <w:jc w:val="center"/>
      </w:pPr>
      <w:r>
        <w:rPr>
          <w:noProof/>
          <w:lang w:val="en-US" w:eastAsia="en-US"/>
        </w:rPr>
        <w:drawing>
          <wp:inline distT="0" distB="0" distL="0" distR="0" wp14:anchorId="5FEA32BF" wp14:editId="0AF41AC4">
            <wp:extent cx="4308337" cy="3185031"/>
            <wp:effectExtent l="0" t="0" r="0" b="0"/>
            <wp:docPr id="345616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8601" cy="3214797"/>
                    </a:xfrm>
                    <a:prstGeom prst="rect">
                      <a:avLst/>
                    </a:prstGeom>
                    <a:noFill/>
                  </pic:spPr>
                </pic:pic>
              </a:graphicData>
            </a:graphic>
          </wp:inline>
        </w:drawing>
      </w:r>
    </w:p>
    <w:p w14:paraId="71532A42" w14:textId="2B0CFC08" w:rsidR="007A1B27" w:rsidRDefault="006D1175" w:rsidP="006D1175">
      <w:pPr>
        <w:rPr>
          <w:i/>
          <w:sz w:val="16"/>
          <w:szCs w:val="16"/>
          <w:lang w:val="en-US"/>
        </w:rPr>
      </w:pPr>
      <w:r w:rsidRPr="006D1175">
        <w:rPr>
          <w:i/>
          <w:sz w:val="16"/>
          <w:szCs w:val="16"/>
          <w:lang w:val="en-US"/>
        </w:rPr>
        <w:t>Source: IMF, World Economic Outlook data</w:t>
      </w:r>
    </w:p>
    <w:p w14:paraId="49BD5457" w14:textId="1EA9D786" w:rsidR="0069146F" w:rsidRDefault="006D1175" w:rsidP="004A0E79">
      <w:pPr>
        <w:pStyle w:val="NumberedPara"/>
        <w:tabs>
          <w:tab w:val="clear" w:pos="2127"/>
        </w:tabs>
        <w:ind w:left="567"/>
      </w:pPr>
      <w:r w:rsidRPr="006D1175">
        <w:t>The lack of fiscal space has also made it challenging for countries to address the vast social needs, especially those in the most vulnerable segments of the population. Insufficient funding meant that the authorities struggled to scale up targeted support when the region faced record-high food, fuel, and fertilizer prices in 2022. In fact, the cost-of-living crisis remains a major concern for sub-Saharan Africa given the high incidence of poverty—35 percent of the population in sub-Saharan Africa was estimated to live under $2.15 a day as of 2019 (latest available data from the World Bank Low-Income Dataset). About 132 million people were estimated to be acutely food-insecure in 2022, an upward revision from the estimate of 123 million in the October 2022 Regional Economic Outlook: Sub-Saharan Africa.</w:t>
      </w:r>
    </w:p>
    <w:p w14:paraId="06D65041" w14:textId="0469E076" w:rsidR="006D1175" w:rsidRDefault="001C7195" w:rsidP="006D1175">
      <w:pPr>
        <w:pStyle w:val="Heading3"/>
      </w:pPr>
      <w:bookmarkStart w:id="83" w:name="_Toc143179782"/>
      <w:r>
        <w:t>Outlook for 2023</w:t>
      </w:r>
      <w:bookmarkEnd w:id="83"/>
    </w:p>
    <w:p w14:paraId="13F43C55" w14:textId="77777777" w:rsidR="006D1175" w:rsidRDefault="006D1175" w:rsidP="004A0E79">
      <w:pPr>
        <w:pStyle w:val="NumberedPara"/>
        <w:tabs>
          <w:tab w:val="clear" w:pos="2127"/>
        </w:tabs>
        <w:ind w:left="567"/>
      </w:pPr>
      <w:r>
        <w:t>Policymakers in sub-Saharan Africa are looking at yet at another difficult year, facing tighter financing conditions on top of the ongoing repercussions from a recent cascading series of shocks. Despite serious financing constraints, there are still a few policy levers available to alleviate the situation. For instance, domestic revenue mobilization offers a potential source of financing.</w:t>
      </w:r>
    </w:p>
    <w:p w14:paraId="1BBB578E" w14:textId="77777777" w:rsidR="006D1175" w:rsidRDefault="006D1175" w:rsidP="004A0E79">
      <w:pPr>
        <w:pStyle w:val="NumberedPara"/>
        <w:tabs>
          <w:tab w:val="clear" w:pos="2127"/>
        </w:tabs>
        <w:ind w:left="567"/>
      </w:pPr>
      <w:r>
        <w:t xml:space="preserve">Moreover, improving domestic legal and regulatory frameworks and undertaking financial systems reforms would not only attract much needed climate finance but also other types of private finance to the region that can help address basic needs and development goals in addition to those arising from climate change. Above all, sub-Saharan Africa will require international assistance in addressing the funding squeeze. </w:t>
      </w:r>
    </w:p>
    <w:p w14:paraId="38146F7B" w14:textId="7D1AB1C8" w:rsidR="006D1175" w:rsidRDefault="006D1175" w:rsidP="004A0E79">
      <w:pPr>
        <w:pStyle w:val="NumberedPara"/>
        <w:tabs>
          <w:tab w:val="clear" w:pos="2127"/>
        </w:tabs>
        <w:ind w:left="567"/>
      </w:pPr>
      <w:r>
        <w:t>The IMF also stands ready to support the region. As of March 2023, the IMF has lending arrangements with 21 countries in the region and has received many program requests. The disbursements associated with IMF programs, emergency financing facilities, and the special drawing rights allocation represented $50 billion between 2020 and 2022.</w:t>
      </w:r>
    </w:p>
    <w:p w14:paraId="4969D56D" w14:textId="03AD7E35" w:rsidR="00904B46" w:rsidRDefault="00904B46" w:rsidP="00904B46">
      <w:pPr>
        <w:pStyle w:val="Heading2"/>
      </w:pPr>
      <w:bookmarkStart w:id="84" w:name="_Toc106568617"/>
      <w:bookmarkStart w:id="85" w:name="_Toc143179783"/>
      <w:r w:rsidRPr="00904B46">
        <w:lastRenderedPageBreak/>
        <w:t>Nigerian Economy</w:t>
      </w:r>
      <w:bookmarkEnd w:id="84"/>
      <w:bookmarkEnd w:id="85"/>
    </w:p>
    <w:p w14:paraId="2A6FB37F" w14:textId="0E660E6B" w:rsidR="00830CF2" w:rsidRPr="00830CF2" w:rsidRDefault="00C96874" w:rsidP="00830CF2">
      <w:pPr>
        <w:pStyle w:val="Heading3"/>
      </w:pPr>
      <w:bookmarkStart w:id="86" w:name="_Toc106568618"/>
      <w:bookmarkStart w:id="87" w:name="_Toc143179784"/>
      <w:r>
        <w:t>Nigerian Economy</w:t>
      </w:r>
      <w:bookmarkEnd w:id="86"/>
      <w:bookmarkEnd w:id="87"/>
    </w:p>
    <w:p w14:paraId="6AE26F85" w14:textId="27418240" w:rsidR="006D1175" w:rsidRDefault="006D1175" w:rsidP="004A0E79">
      <w:pPr>
        <w:pStyle w:val="NumberedPara"/>
        <w:tabs>
          <w:tab w:val="clear" w:pos="2127"/>
        </w:tabs>
        <w:ind w:left="567"/>
      </w:pPr>
      <w:r>
        <w:t>The General Elections to elect a new President, Federal and State Legislators and Governors were held in February and March 2023</w:t>
      </w:r>
      <w:r w:rsidR="000B187E">
        <w:t xml:space="preserve"> respectively,</w:t>
      </w:r>
      <w:r>
        <w:t xml:space="preserve"> and President Muhammadu Buhari</w:t>
      </w:r>
      <w:r w:rsidR="000B187E">
        <w:t xml:space="preserve"> has handed power over to the New Elected President Bola Ahmed Tinubu</w:t>
      </w:r>
      <w:r>
        <w:t xml:space="preserve"> on May 29, 2023. Since 2011, the security landscape has been shaped by the war against Boko Haram and other terrorist groups in the northeast in addition to incessant cases of banditry and kidnappings in the north-west and parts of the south</w:t>
      </w:r>
      <w:r w:rsidR="000B187E">
        <w:t>-</w:t>
      </w:r>
      <w:r>
        <w:t>west</w:t>
      </w:r>
      <w:r w:rsidR="000B187E">
        <w:t xml:space="preserve"> and northcentral</w:t>
      </w:r>
      <w:r>
        <w:t>. The southeast continues to witness unrest resulting from separatist agitations.</w:t>
      </w:r>
    </w:p>
    <w:p w14:paraId="0BDD3589" w14:textId="1C2F8C9E" w:rsidR="006D1175" w:rsidRDefault="006D1175" w:rsidP="004A0E79">
      <w:pPr>
        <w:pStyle w:val="NumberedPara"/>
        <w:tabs>
          <w:tab w:val="clear" w:pos="2127"/>
        </w:tabs>
        <w:ind w:left="567"/>
      </w:pPr>
      <w:r>
        <w:t>The key feature of Nigeria’s economy in the last seven years has been the shift of economic activity towards agriculture and a slowdown of the manufacturing sector. As a share of GDP, agriculture expanded from 23</w:t>
      </w:r>
      <w:r w:rsidR="005E7C45">
        <w:t>% i</w:t>
      </w:r>
      <w:r>
        <w:t>n 2015 to 26</w:t>
      </w:r>
      <w:r w:rsidR="005E7C45">
        <w:t xml:space="preserve">% </w:t>
      </w:r>
      <w:r>
        <w:t>in 2022, while manufacturing declined from 9.5</w:t>
      </w:r>
      <w:r w:rsidR="005E7C45">
        <w:t xml:space="preserve">% </w:t>
      </w:r>
      <w:r>
        <w:t>to 9</w:t>
      </w:r>
      <w:r w:rsidR="005E7C45">
        <w:t xml:space="preserve">% </w:t>
      </w:r>
      <w:r>
        <w:t>respectively. During this period, non-oil exports as a share of non-oil GDP averaged 1.3</w:t>
      </w:r>
      <w:r w:rsidR="005E7C45">
        <w:t xml:space="preserve">% </w:t>
      </w:r>
      <w:r>
        <w:t>while manufactured goods as a share of total exports remained low at 5.2</w:t>
      </w:r>
      <w:r w:rsidR="00425232">
        <w:t xml:space="preserve">% </w:t>
      </w:r>
      <w:r>
        <w:t>in 2022. Part of the problem facing the economy is the neglect of the manufacturing sector. Essentially, Nigeria is not producing enough, for both local consumption and export. The consequences of having a weak manufacturing base for a country with such a large population are evident in its foreign exchange shortages, limited number of jobs created to accommodate workforce entrants, and an import bill that can hardly be met (nor sustained) by current export earnings.</w:t>
      </w:r>
    </w:p>
    <w:p w14:paraId="405B71C1" w14:textId="6F19A011" w:rsidR="006D1175" w:rsidRDefault="006D1175" w:rsidP="004A0E79">
      <w:pPr>
        <w:pStyle w:val="NumberedPara"/>
        <w:tabs>
          <w:tab w:val="clear" w:pos="2127"/>
        </w:tabs>
        <w:ind w:left="567"/>
      </w:pPr>
      <w:r>
        <w:t xml:space="preserve">Growth decelerates, averaging 3.2% during 2022–2023, due to persistently low oil production and rising insecurity. Inflation is projected to remain elevated at 16.9% in 2022 and to stay above pre-pandemic levels in 2023, </w:t>
      </w:r>
      <w:r w:rsidR="001C7195">
        <w:t>fuelled</w:t>
      </w:r>
      <w:r>
        <w:t xml:space="preserve"> mainly </w:t>
      </w:r>
      <w:r w:rsidR="000B187E">
        <w:t>the removal of Petroleum Subsidies which impacted the prices of</w:t>
      </w:r>
      <w:r>
        <w:t xml:space="preserve"> food, diesel, and gas and persistent supply disruptions amplified by the Russia– Ukraine conflict. </w:t>
      </w:r>
    </w:p>
    <w:p w14:paraId="0F27E0AB" w14:textId="77777777" w:rsidR="006D1175" w:rsidRDefault="006D1175" w:rsidP="004A0E79">
      <w:pPr>
        <w:pStyle w:val="NumberedPara"/>
        <w:tabs>
          <w:tab w:val="clear" w:pos="2127"/>
        </w:tabs>
        <w:ind w:left="567"/>
      </w:pPr>
      <w:r>
        <w:t>The economy is projected to grow by an average of 2.9% per year between 2023 and 2025, only slightly above the estimated population growth rate of 2.4%. Growth will likely be driven by services, trade, and manufacturing. Downside risks to this growth outlook have intensified, with most of the risks coming from domestic policies, continued low (albeit recently rising) oil production, and scarcity of both foreign exchange and local currency.</w:t>
      </w:r>
    </w:p>
    <w:p w14:paraId="672946D2" w14:textId="139512E8" w:rsidR="006914D6" w:rsidRDefault="006D1175" w:rsidP="004A0E79">
      <w:pPr>
        <w:pStyle w:val="NumberedPara"/>
        <w:tabs>
          <w:tab w:val="clear" w:pos="2127"/>
        </w:tabs>
        <w:ind w:left="567"/>
      </w:pPr>
      <w:r>
        <w:t>While Nigeria has made some progress in socio-economic terms in recent years, its human capital development ranked only 150 of 157 countries in the World Bank’s 2020 Human Capital Index. The country continues to face massive development challenges, including the need to reduce the dependence on oil for exports and revenues, diversify its foreign exchange sources, close the infrastructure gap, build strong and effective institutions, as well as address governance issues and strengthen public financial management systems.</w:t>
      </w:r>
    </w:p>
    <w:p w14:paraId="73E0AEA1" w14:textId="0550DA6B" w:rsidR="00FD43BC" w:rsidRDefault="006D1175" w:rsidP="00904B46">
      <w:pPr>
        <w:pStyle w:val="Heading3"/>
      </w:pPr>
      <w:bookmarkStart w:id="88" w:name="_Toc143179785"/>
      <w:r w:rsidRPr="006D1175">
        <w:t>Naira Redesign and Monetary Policy on Nigeria’s Economy</w:t>
      </w:r>
      <w:bookmarkEnd w:id="88"/>
    </w:p>
    <w:p w14:paraId="0A3806FE" w14:textId="4F33E0F5" w:rsidR="006D1175" w:rsidRDefault="006D1175" w:rsidP="004A0E79">
      <w:pPr>
        <w:pStyle w:val="NumberedPara"/>
        <w:tabs>
          <w:tab w:val="clear" w:pos="2127"/>
        </w:tabs>
        <w:ind w:left="567"/>
      </w:pPr>
      <w:r>
        <w:t xml:space="preserve">The Central Bank of Nigeria (CBN) announced that the bank would release re-designed naira notes by December 15, 2022, while existing notes would cease to be regarded as legal tender by January 31, 2023. Through this policy, the apex </w:t>
      </w:r>
      <w:r w:rsidR="0019186A">
        <w:t>bank's</w:t>
      </w:r>
      <w:r>
        <w:t xml:space="preserve"> aims </w:t>
      </w:r>
      <w:r w:rsidR="00552A48">
        <w:t xml:space="preserve">were </w:t>
      </w:r>
      <w:r>
        <w:t>to control the money supply, and inflation, as well as curb counterfeit currency.</w:t>
      </w:r>
    </w:p>
    <w:p w14:paraId="2CEE02E8" w14:textId="536F5E4D" w:rsidR="005A0A9E" w:rsidRDefault="005A0A9E" w:rsidP="001479CC">
      <w:pPr>
        <w:pStyle w:val="Caption"/>
      </w:pPr>
      <w:bookmarkStart w:id="89" w:name="_Ref142146679"/>
      <w:bookmarkStart w:id="90" w:name="_Ref142146686"/>
      <w:bookmarkStart w:id="91" w:name="_Toc143179911"/>
      <w:r>
        <w:lastRenderedPageBreak/>
        <w:t xml:space="preserve">Figure </w:t>
      </w:r>
      <w:r>
        <w:fldChar w:fldCharType="begin"/>
      </w:r>
      <w:r>
        <w:instrText xml:space="preserve"> SEQ Figure \* ARABIC </w:instrText>
      </w:r>
      <w:r>
        <w:fldChar w:fldCharType="separate"/>
      </w:r>
      <w:r w:rsidR="00727B66">
        <w:rPr>
          <w:noProof/>
        </w:rPr>
        <w:t>7</w:t>
      </w:r>
      <w:r>
        <w:fldChar w:fldCharType="end"/>
      </w:r>
      <w:bookmarkEnd w:id="89"/>
      <w:r>
        <w:t>: Historical CBN FX Rates and Foreign Reserves</w:t>
      </w:r>
      <w:bookmarkEnd w:id="90"/>
      <w:bookmarkEnd w:id="91"/>
    </w:p>
    <w:p w14:paraId="56C368F8" w14:textId="244E28FF" w:rsidR="005A0A9E" w:rsidRDefault="005A0A9E" w:rsidP="005A0A9E">
      <w:pPr>
        <w:pStyle w:val="NumberedPara"/>
        <w:numPr>
          <w:ilvl w:val="0"/>
          <w:numId w:val="0"/>
        </w:numPr>
        <w:ind w:left="567"/>
      </w:pPr>
      <w:r w:rsidRPr="005A0A9E">
        <w:rPr>
          <w:noProof/>
        </w:rPr>
        <w:drawing>
          <wp:inline distT="0" distB="0" distL="0" distR="0" wp14:anchorId="42B33192" wp14:editId="3A4914FB">
            <wp:extent cx="4586288" cy="2610950"/>
            <wp:effectExtent l="0" t="0" r="5080" b="0"/>
            <wp:docPr id="45667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1142" cy="2613713"/>
                    </a:xfrm>
                    <a:prstGeom prst="rect">
                      <a:avLst/>
                    </a:prstGeom>
                    <a:noFill/>
                    <a:ln>
                      <a:noFill/>
                    </a:ln>
                  </pic:spPr>
                </pic:pic>
              </a:graphicData>
            </a:graphic>
          </wp:inline>
        </w:drawing>
      </w:r>
    </w:p>
    <w:p w14:paraId="25BA7D2D" w14:textId="571C4C0F" w:rsidR="005A0A9E" w:rsidRPr="001479CC" w:rsidRDefault="005A0A9E" w:rsidP="001479CC">
      <w:pPr>
        <w:rPr>
          <w:i/>
          <w:sz w:val="16"/>
          <w:szCs w:val="16"/>
          <w:lang w:val="en-US"/>
        </w:rPr>
      </w:pPr>
      <w:r w:rsidRPr="001479CC">
        <w:rPr>
          <w:i/>
          <w:sz w:val="16"/>
          <w:szCs w:val="16"/>
          <w:lang w:val="en-US"/>
        </w:rPr>
        <w:t>Source: CBN</w:t>
      </w:r>
    </w:p>
    <w:p w14:paraId="512D6F9A" w14:textId="266174CB" w:rsidR="001E483A" w:rsidRDefault="005A0A9E" w:rsidP="004A0E79">
      <w:pPr>
        <w:pStyle w:val="NumberedPara"/>
        <w:tabs>
          <w:tab w:val="clear" w:pos="2127"/>
        </w:tabs>
        <w:ind w:left="567"/>
      </w:pPr>
      <w:r>
        <w:t xml:space="preserve">As seen in </w:t>
      </w:r>
      <w:r>
        <w:fldChar w:fldCharType="begin"/>
      </w:r>
      <w:r>
        <w:instrText xml:space="preserve"> REF _Ref142146679 \h </w:instrText>
      </w:r>
      <w:r>
        <w:fldChar w:fldCharType="separate"/>
      </w:r>
      <w:r>
        <w:t xml:space="preserve">Figure </w:t>
      </w:r>
      <w:r>
        <w:rPr>
          <w:noProof/>
        </w:rPr>
        <w:t>6</w:t>
      </w:r>
      <w:r>
        <w:fldChar w:fldCharType="end"/>
      </w:r>
      <w:r>
        <w:t xml:space="preserve"> </w:t>
      </w:r>
      <w:r>
        <w:fldChar w:fldCharType="begin"/>
      </w:r>
      <w:r>
        <w:instrText xml:space="preserve"> REF _Ref142146686 \p \h </w:instrText>
      </w:r>
      <w:r>
        <w:fldChar w:fldCharType="separate"/>
      </w:r>
      <w:r>
        <w:t>above</w:t>
      </w:r>
      <w:r>
        <w:fldChar w:fldCharType="end"/>
      </w:r>
      <w:r>
        <w:t>, t</w:t>
      </w:r>
      <w:r w:rsidR="001E483A">
        <w:t xml:space="preserve">he naira from 31st of May 2023, has been fluctuating from N461.1 /$1, but slowly depreciating daily to N752.51/$1 as </w:t>
      </w:r>
      <w:r w:rsidR="004A0E79">
        <w:t>of</w:t>
      </w:r>
      <w:r w:rsidR="001E483A">
        <w:t xml:space="preserve"> 22nd June 2023.  This can be attributed to the recent change of government in the country that led to the swift economic decisions taken by the new administration, which </w:t>
      </w:r>
      <w:r w:rsidR="004A0E79">
        <w:t>includes</w:t>
      </w:r>
      <w:r w:rsidR="001E483A">
        <w:t xml:space="preserve"> </w:t>
      </w:r>
      <w:r w:rsidR="0019186A">
        <w:t xml:space="preserve">the </w:t>
      </w:r>
      <w:r w:rsidR="001E483A">
        <w:t>removal of fuel subsidy</w:t>
      </w:r>
      <w:r w:rsidR="00552A48">
        <w:t xml:space="preserve">, </w:t>
      </w:r>
      <w:r w:rsidR="004A0E79">
        <w:t xml:space="preserve">and </w:t>
      </w:r>
      <w:r w:rsidR="001E483A">
        <w:t xml:space="preserve">exchange rate reform. The economy is expected to experience a slow but drastic change in the coming weeks, months and even years, as the exchange rate will continue </w:t>
      </w:r>
      <w:r w:rsidR="00552A48">
        <w:t xml:space="preserve">to </w:t>
      </w:r>
      <w:r w:rsidR="004A0E79">
        <w:t>fluctuate,</w:t>
      </w:r>
      <w:r w:rsidR="001E483A">
        <w:t xml:space="preserve"> and the naira will continue to appreciate against the dollar. </w:t>
      </w:r>
    </w:p>
    <w:p w14:paraId="776C2089" w14:textId="77777777" w:rsidR="001E483A" w:rsidRDefault="001E483A" w:rsidP="004A0E79">
      <w:pPr>
        <w:pStyle w:val="NumberedPara"/>
        <w:tabs>
          <w:tab w:val="clear" w:pos="2127"/>
        </w:tabs>
        <w:ind w:left="567"/>
      </w:pPr>
      <w:r>
        <w:t xml:space="preserve">The new foreign exchange policy despite some negative effects that came with it, also has some interesting positive expectations too. These could be in a form </w:t>
      </w:r>
      <w:proofErr w:type="gramStart"/>
      <w:r>
        <w:t>of;</w:t>
      </w:r>
      <w:proofErr w:type="gramEnd"/>
      <w:r>
        <w:t xml:space="preserve"> </w:t>
      </w:r>
    </w:p>
    <w:p w14:paraId="5C9EF9DF" w14:textId="77777777" w:rsidR="001E483A" w:rsidRDefault="001E483A" w:rsidP="004A0E79">
      <w:pPr>
        <w:pStyle w:val="NumberedPara"/>
        <w:numPr>
          <w:ilvl w:val="0"/>
          <w:numId w:val="20"/>
        </w:numPr>
        <w:ind w:left="993"/>
      </w:pPr>
      <w:r>
        <w:t xml:space="preserve">It should reduce Nigeria’s bloated parallel market for foreign exchange. </w:t>
      </w:r>
    </w:p>
    <w:p w14:paraId="637AD2C8" w14:textId="59776741" w:rsidR="001E483A" w:rsidRDefault="001E483A" w:rsidP="004A0E79">
      <w:pPr>
        <w:pStyle w:val="NumberedPara"/>
        <w:numPr>
          <w:ilvl w:val="0"/>
          <w:numId w:val="20"/>
        </w:numPr>
        <w:ind w:left="993"/>
      </w:pPr>
      <w:r>
        <w:t>Discourage rent-</w:t>
      </w:r>
      <w:r w:rsidR="004A0E79">
        <w:t>seeking.</w:t>
      </w:r>
    </w:p>
    <w:p w14:paraId="396F9763" w14:textId="04B6989F" w:rsidR="001E483A" w:rsidRDefault="001E483A" w:rsidP="004A0E79">
      <w:pPr>
        <w:pStyle w:val="NumberedPara"/>
        <w:numPr>
          <w:ilvl w:val="0"/>
          <w:numId w:val="20"/>
        </w:numPr>
        <w:ind w:left="993"/>
      </w:pPr>
      <w:r>
        <w:t xml:space="preserve">Foster a stable macroeconomic </w:t>
      </w:r>
      <w:r w:rsidR="004A0E79">
        <w:t>environment.</w:t>
      </w:r>
    </w:p>
    <w:p w14:paraId="68742094" w14:textId="2EEB98B7" w:rsidR="001E483A" w:rsidRDefault="001E483A" w:rsidP="004A0E79">
      <w:pPr>
        <w:pStyle w:val="NumberedPara"/>
        <w:numPr>
          <w:ilvl w:val="0"/>
          <w:numId w:val="20"/>
        </w:numPr>
        <w:ind w:left="993"/>
      </w:pPr>
      <w:r>
        <w:t xml:space="preserve">Attract foreign </w:t>
      </w:r>
      <w:r w:rsidR="004A0E79">
        <w:t>investment.</w:t>
      </w:r>
    </w:p>
    <w:p w14:paraId="4F3B6831" w14:textId="1F4E6020" w:rsidR="001E483A" w:rsidRDefault="001E483A" w:rsidP="004A0E79">
      <w:pPr>
        <w:pStyle w:val="NumberedPara"/>
        <w:numPr>
          <w:ilvl w:val="0"/>
          <w:numId w:val="20"/>
        </w:numPr>
        <w:ind w:left="993"/>
      </w:pPr>
      <w:r>
        <w:t>Boost exports</w:t>
      </w:r>
      <w:r w:rsidR="004A0E79">
        <w:t>.</w:t>
      </w:r>
    </w:p>
    <w:p w14:paraId="32FF5EE1" w14:textId="354FBE11" w:rsidR="001E483A" w:rsidRDefault="001E483A" w:rsidP="004A0E79">
      <w:pPr>
        <w:pStyle w:val="NumberedPara"/>
        <w:numPr>
          <w:ilvl w:val="0"/>
          <w:numId w:val="20"/>
        </w:numPr>
        <w:ind w:left="993"/>
      </w:pPr>
      <w:r>
        <w:t xml:space="preserve">Stabilise the exchange rate and prevent the dollarization of the economy. </w:t>
      </w:r>
    </w:p>
    <w:p w14:paraId="6DC98A65" w14:textId="787DB7C3" w:rsidR="001E483A" w:rsidRDefault="001E483A" w:rsidP="004A0E79">
      <w:pPr>
        <w:pStyle w:val="NumberedPara"/>
        <w:tabs>
          <w:tab w:val="clear" w:pos="2127"/>
          <w:tab w:val="num" w:pos="2410"/>
        </w:tabs>
        <w:ind w:left="567"/>
      </w:pPr>
      <w:r>
        <w:t>These would all improve the investment climate and spur economic growth.</w:t>
      </w:r>
    </w:p>
    <w:p w14:paraId="22710648" w14:textId="647A0867" w:rsidR="006D1175" w:rsidRDefault="006D1175" w:rsidP="004A0E79">
      <w:pPr>
        <w:pStyle w:val="NumberedPara"/>
        <w:tabs>
          <w:tab w:val="clear" w:pos="2127"/>
          <w:tab w:val="num" w:pos="2410"/>
        </w:tabs>
        <w:ind w:left="567"/>
      </w:pPr>
      <w:r>
        <w:t xml:space="preserve">Currency redesign is an activity of a sovereign nation to either change or modify the existing currency in a country.  This can be done   for several   </w:t>
      </w:r>
      <w:r w:rsidR="007F359B">
        <w:t xml:space="preserve">reasons </w:t>
      </w:r>
      <w:r w:rsidR="004A0E79">
        <w:t>like; improving</w:t>
      </w:r>
      <w:r>
        <w:t xml:space="preserve">   </w:t>
      </w:r>
      <w:r w:rsidR="004A0E79">
        <w:t>the security</w:t>
      </w:r>
      <w:r>
        <w:t xml:space="preserve"> features of the   new   currency, reducing the money supply, reducing </w:t>
      </w:r>
      <w:r w:rsidR="004A0E79">
        <w:t>inflation, investigating</w:t>
      </w:r>
      <w:r>
        <w:t xml:space="preserve"> incomes from nefarious sources, and many other economic indicators that affect financial stability.</w:t>
      </w:r>
    </w:p>
    <w:p w14:paraId="650AC0FC" w14:textId="77777777" w:rsidR="006D1175" w:rsidRDefault="006D1175" w:rsidP="004A0E79">
      <w:pPr>
        <w:pStyle w:val="NumberedPara"/>
        <w:tabs>
          <w:tab w:val="clear" w:pos="2127"/>
          <w:tab w:val="num" w:pos="2410"/>
        </w:tabs>
        <w:ind w:left="567"/>
      </w:pPr>
      <w:r>
        <w:t>A significant implication is that the redesign is anticipated to cause an economic upswing, which will frustrate and keep businesses in Nigeria under stress. The brief window for the issuance of the revised notes is primarily to blame for this expected economic flurry. The growing crowds anticipated at banking halls are predicted to overwhelm commercial banks.</w:t>
      </w:r>
    </w:p>
    <w:p w14:paraId="689A72AA" w14:textId="56E3A85B" w:rsidR="006D1175" w:rsidRDefault="006D1175" w:rsidP="004A0E79">
      <w:pPr>
        <w:pStyle w:val="NumberedPara"/>
        <w:tabs>
          <w:tab w:val="clear" w:pos="2127"/>
          <w:tab w:val="num" w:pos="2410"/>
        </w:tabs>
        <w:ind w:left="567"/>
      </w:pPr>
      <w:r>
        <w:t xml:space="preserve">Those who live in rural areas may be the most affected. It is disappointing to learn that some communities in Nigeria, particularly rural communities, do not have a bank within 70 </w:t>
      </w:r>
      <w:r w:rsidR="004A0E79">
        <w:t>kilometres</w:t>
      </w:r>
      <w:r>
        <w:t xml:space="preserve"> of them. There will likely be a transport rush in these areas once the redesigned currencies are available, as people will travel to the cities to exchange their old currencies.</w:t>
      </w:r>
    </w:p>
    <w:p w14:paraId="55281F9C" w14:textId="72691BAA" w:rsidR="00C96874" w:rsidRDefault="006D1175" w:rsidP="004A0E79">
      <w:pPr>
        <w:pStyle w:val="NumberedPara"/>
        <w:tabs>
          <w:tab w:val="clear" w:pos="2127"/>
          <w:tab w:val="num" w:pos="2410"/>
        </w:tabs>
        <w:ind w:left="567"/>
      </w:pPr>
      <w:r>
        <w:t>Additionally, with an already high inflation rate of over 20%, the strengthening dollar, and Moody’s downgrading of Nigeria’s economic growth forecast from B2 to B3, choosing to spend billions on printing new currencies may cause untold hardship to the country’s economy.</w:t>
      </w:r>
    </w:p>
    <w:p w14:paraId="7F517FE8" w14:textId="10418D6D" w:rsidR="00C96874" w:rsidRDefault="006D1175" w:rsidP="00F81230">
      <w:pPr>
        <w:pStyle w:val="Heading3"/>
      </w:pPr>
      <w:bookmarkStart w:id="92" w:name="_Toc143179786"/>
      <w:bookmarkStart w:id="93" w:name="_Toc139790572"/>
      <w:r w:rsidRPr="006D1175">
        <w:lastRenderedPageBreak/>
        <w:t>Macroeconom</w:t>
      </w:r>
      <w:r w:rsidR="001C7195">
        <w:t>y</w:t>
      </w:r>
      <w:bookmarkEnd w:id="92"/>
    </w:p>
    <w:p w14:paraId="0789B6C0" w14:textId="74DA126E" w:rsidR="006D1175" w:rsidRDefault="006D1175" w:rsidP="004A0E79">
      <w:pPr>
        <w:pStyle w:val="NumberedPara"/>
        <w:tabs>
          <w:tab w:val="clear" w:pos="2127"/>
          <w:tab w:val="num" w:pos="2410"/>
        </w:tabs>
        <w:ind w:left="567"/>
      </w:pPr>
      <w:r>
        <w:t xml:space="preserve">Data from </w:t>
      </w:r>
      <w:r w:rsidR="0019186A">
        <w:t xml:space="preserve">the </w:t>
      </w:r>
      <w:r>
        <w:t>National Bureau of Statistics, show that Nigeria’s GDP growth in 2023 will be lower than that of 2022. The deceleration of growth will stem from the impact of the Naira scarcity on aggregate demand, uncertainties about the new administration and existing structural problems. In terms of the growth drivers, the services sector led by trade, ICT and finance will play a major role.</w:t>
      </w:r>
    </w:p>
    <w:p w14:paraId="4934AB88" w14:textId="5D8E46AA" w:rsidR="006D1175" w:rsidRDefault="006D1175" w:rsidP="004A0E79">
      <w:pPr>
        <w:pStyle w:val="NumberedPara"/>
        <w:tabs>
          <w:tab w:val="clear" w:pos="2127"/>
          <w:tab w:val="num" w:pos="2410"/>
        </w:tabs>
        <w:ind w:left="567"/>
      </w:pPr>
      <w:r>
        <w:t xml:space="preserve">Since </w:t>
      </w:r>
      <w:r w:rsidR="005A0A9E">
        <w:t>the</w:t>
      </w:r>
      <w:r>
        <w:t xml:space="preserve"> last Macroeconomic Review</w:t>
      </w:r>
      <w:r w:rsidR="005A0A9E">
        <w:t xml:space="preserve"> of 1</w:t>
      </w:r>
      <w:r w:rsidR="005A0A9E" w:rsidRPr="001479CC">
        <w:rPr>
          <w:vertAlign w:val="superscript"/>
        </w:rPr>
        <w:t>st</w:t>
      </w:r>
      <w:r w:rsidR="005A0A9E">
        <w:t xml:space="preserve"> Quarter 2023</w:t>
      </w:r>
      <w:r>
        <w:t xml:space="preserve">, Nigeria’s oil production has been trending upwards. Oil production increased from 1.27 million </w:t>
      </w:r>
      <w:r w:rsidR="0019186A">
        <w:t>barrels</w:t>
      </w:r>
      <w:r>
        <w:t xml:space="preserve"> per day (mbpd) in December 2022 to 1.38 mbpd in February 2023. While this is a significant improvement, oil production is still below the budget benchmark of 1.69 mbpd. The government must continue efforts to curb oil theft and vandalism to ensure oil sales are reflected in government </w:t>
      </w:r>
      <w:r w:rsidR="0019186A">
        <w:t>accounts</w:t>
      </w:r>
      <w:r>
        <w:t>.</w:t>
      </w:r>
    </w:p>
    <w:p w14:paraId="45E61B2F" w14:textId="6CD2EBFB" w:rsidR="00C96874" w:rsidRDefault="006D1175" w:rsidP="004A0E79">
      <w:pPr>
        <w:pStyle w:val="NumberedPara"/>
        <w:tabs>
          <w:tab w:val="clear" w:pos="2127"/>
          <w:tab w:val="num" w:pos="2410"/>
        </w:tabs>
        <w:ind w:left="567"/>
      </w:pPr>
      <w:r>
        <w:t xml:space="preserve">For </w:t>
      </w:r>
      <w:r w:rsidR="0019186A">
        <w:t xml:space="preserve">the </w:t>
      </w:r>
      <w:r>
        <w:t>exchange rate, we expect a slow and steady depreciation as experienced in recent years. The currency will continue to face pressure from high import costs and demand for foreign currency for services, but the CBN will continue to intervene in the FX market to limit the pace of depreciation. The possibility for crucial exchange rate reform in H1 2023 is limited and such reform can only happen in the second half of 2023 on the insistence of a new President. Currently at US$36 billion, external reserves which can finance about 6-7 of imports of goods and services will also face pressure in 2023.</w:t>
      </w:r>
    </w:p>
    <w:p w14:paraId="27ADA288" w14:textId="22DF6E4C" w:rsidR="00C96874" w:rsidRDefault="006914D6" w:rsidP="00C96874">
      <w:pPr>
        <w:pStyle w:val="Heading3"/>
      </w:pPr>
      <w:bookmarkStart w:id="94" w:name="_Toc106568621"/>
      <w:bookmarkStart w:id="95" w:name="_Toc143179787"/>
      <w:bookmarkStart w:id="96" w:name="_Toc340045250"/>
      <w:bookmarkStart w:id="97" w:name="_Toc340053639"/>
      <w:bookmarkEnd w:id="93"/>
      <w:r w:rsidRPr="006914D6">
        <w:t>Crude Oil Pr</w:t>
      </w:r>
      <w:bookmarkEnd w:id="94"/>
      <w:r w:rsidR="006D1175">
        <w:t>oduction</w:t>
      </w:r>
      <w:bookmarkEnd w:id="95"/>
    </w:p>
    <w:p w14:paraId="4180B29D" w14:textId="39440AFA" w:rsidR="006D1175" w:rsidRDefault="006D1175" w:rsidP="00B268D3">
      <w:pPr>
        <w:pStyle w:val="NumberedPara"/>
        <w:tabs>
          <w:tab w:val="clear" w:pos="2127"/>
          <w:tab w:val="num" w:pos="2552"/>
        </w:tabs>
        <w:ind w:left="567"/>
      </w:pPr>
      <w:r>
        <w:t>Despite its perennial underproduction in the last two years, Nigeria has been able to ramp up its crude oil output compared to its budget benchmark from an average of about 60</w:t>
      </w:r>
      <w:r w:rsidR="004A0E79">
        <w:t>%</w:t>
      </w:r>
      <w:r>
        <w:t xml:space="preserve"> to 75</w:t>
      </w:r>
      <w:r w:rsidR="004A0E79">
        <w:t>%</w:t>
      </w:r>
      <w:r>
        <w:t xml:space="preserve"> between H</w:t>
      </w:r>
      <w:r w:rsidR="004A0E79">
        <w:t>alf year of</w:t>
      </w:r>
      <w:r>
        <w:t xml:space="preserve"> 2022 and Q1, 2023, data released by the Nigerian Upstream Petroleum Regulatory Commission (NUPRC) has revealed.</w:t>
      </w:r>
    </w:p>
    <w:p w14:paraId="5C56344A" w14:textId="0CFE36FE" w:rsidR="001D36D1" w:rsidRDefault="001D36D1" w:rsidP="001D36D1">
      <w:pPr>
        <w:pStyle w:val="Caption"/>
      </w:pPr>
      <w:bookmarkStart w:id="98" w:name="_Toc143179912"/>
      <w:r>
        <w:t xml:space="preserve">Figure </w:t>
      </w:r>
      <w:r>
        <w:fldChar w:fldCharType="begin"/>
      </w:r>
      <w:r>
        <w:instrText xml:space="preserve"> SEQ Figure \* ARABIC </w:instrText>
      </w:r>
      <w:r>
        <w:fldChar w:fldCharType="separate"/>
      </w:r>
      <w:r w:rsidR="00727B66">
        <w:rPr>
          <w:noProof/>
        </w:rPr>
        <w:t>8</w:t>
      </w:r>
      <w:r>
        <w:fldChar w:fldCharType="end"/>
      </w:r>
      <w:r>
        <w:t xml:space="preserve">: </w:t>
      </w:r>
      <w:r w:rsidRPr="001D36D1">
        <w:t>CRUDE OIL PRODUCTION</w:t>
      </w:r>
      <w:bookmarkEnd w:id="98"/>
    </w:p>
    <w:p w14:paraId="0022F557" w14:textId="6511CAB8" w:rsidR="001D36D1" w:rsidRDefault="002329E5" w:rsidP="001D36D1">
      <w:r w:rsidRPr="002329E5">
        <w:rPr>
          <w:noProof/>
        </w:rPr>
        <w:drawing>
          <wp:inline distT="0" distB="0" distL="0" distR="0" wp14:anchorId="3B6D7AE3" wp14:editId="1CDA8AD7">
            <wp:extent cx="5200650" cy="2938780"/>
            <wp:effectExtent l="0" t="0" r="0" b="0"/>
            <wp:docPr id="7271269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0650" cy="2938780"/>
                    </a:xfrm>
                    <a:prstGeom prst="rect">
                      <a:avLst/>
                    </a:prstGeom>
                    <a:noFill/>
                    <a:ln>
                      <a:noFill/>
                    </a:ln>
                  </pic:spPr>
                </pic:pic>
              </a:graphicData>
            </a:graphic>
          </wp:inline>
        </w:drawing>
      </w:r>
    </w:p>
    <w:p w14:paraId="2EF9DCC9" w14:textId="7792253B" w:rsidR="00C83277" w:rsidRPr="00C83277" w:rsidRDefault="00C83277" w:rsidP="001D36D1">
      <w:pPr>
        <w:rPr>
          <w:i/>
          <w:iCs/>
          <w:sz w:val="16"/>
          <w:szCs w:val="16"/>
        </w:rPr>
      </w:pPr>
      <w:r w:rsidRPr="00C83277">
        <w:rPr>
          <w:i/>
          <w:iCs/>
          <w:sz w:val="16"/>
          <w:szCs w:val="16"/>
        </w:rPr>
        <w:t xml:space="preserve">Source: </w:t>
      </w:r>
      <w:r w:rsidR="002329E5">
        <w:rPr>
          <w:i/>
          <w:iCs/>
          <w:sz w:val="16"/>
          <w:szCs w:val="16"/>
        </w:rPr>
        <w:t>NNPC, EIA, OPEC, MTEF</w:t>
      </w:r>
    </w:p>
    <w:p w14:paraId="78FAC95D" w14:textId="08A55B16" w:rsidR="000F27EE" w:rsidRPr="000B0CE7" w:rsidRDefault="00FD750D" w:rsidP="000B0CE7">
      <w:pPr>
        <w:pStyle w:val="NumberedPara"/>
        <w:tabs>
          <w:tab w:val="clear" w:pos="2127"/>
          <w:tab w:val="num" w:pos="2552"/>
        </w:tabs>
        <w:ind w:left="567"/>
      </w:pPr>
      <w:r w:rsidRPr="00FD750D">
        <w:t>Crude Oil Production in Nigeria increased</w:t>
      </w:r>
      <w:r w:rsidR="00E57EDE">
        <w:t xml:space="preserve"> </w:t>
      </w:r>
      <w:r w:rsidRPr="00FD750D">
        <w:t>to 1</w:t>
      </w:r>
      <w:r w:rsidR="000343FE">
        <w:t>.</w:t>
      </w:r>
      <w:r w:rsidRPr="00FD750D">
        <w:t xml:space="preserve">184 </w:t>
      </w:r>
      <w:r w:rsidR="000343FE">
        <w:t>mbpd</w:t>
      </w:r>
      <w:r w:rsidRPr="00FD750D">
        <w:t xml:space="preserve"> in </w:t>
      </w:r>
      <w:r w:rsidR="008212DB">
        <w:t>June</w:t>
      </w:r>
      <w:r w:rsidRPr="00FD750D">
        <w:t xml:space="preserve"> 2023</w:t>
      </w:r>
      <w:r w:rsidR="000343FE">
        <w:t xml:space="preserve"> from its previous month of 0.999 mbpd</w:t>
      </w:r>
      <w:r w:rsidRPr="00FD750D">
        <w:t xml:space="preserve">. The maximum level </w:t>
      </w:r>
      <w:r w:rsidR="000343FE">
        <w:t xml:space="preserve">from December 2020 to June 2023 </w:t>
      </w:r>
      <w:r w:rsidRPr="00FD750D">
        <w:t xml:space="preserve">was </w:t>
      </w:r>
      <w:r w:rsidR="000343FE">
        <w:t>1.399</w:t>
      </w:r>
      <w:r w:rsidRPr="00FD750D">
        <w:t xml:space="preserve"> </w:t>
      </w:r>
      <w:r w:rsidR="00D42AA7">
        <w:t>mbpd</w:t>
      </w:r>
      <w:r w:rsidRPr="00FD750D">
        <w:t xml:space="preserve"> and minimum was </w:t>
      </w:r>
      <w:r w:rsidR="000343FE">
        <w:t>0.938 mbpd</w:t>
      </w:r>
      <w:r w:rsidRPr="00FD750D">
        <w:t>.</w:t>
      </w:r>
      <w:r>
        <w:t xml:space="preserve"> </w:t>
      </w:r>
      <w:r w:rsidR="006D1175">
        <w:t>Analysis of production data showed that with a projection of 1.88 million barrels per day crude oil production in the 2022 federal budget, Nigeria under-produced to the tune of over 277 million barrels of the commodity between January and December 2022, leaving average production at 60</w:t>
      </w:r>
      <w:r w:rsidR="00E57EDE">
        <w:t>%</w:t>
      </w:r>
      <w:r w:rsidR="006D1175">
        <w:t>.</w:t>
      </w:r>
    </w:p>
    <w:p w14:paraId="7762A4F5" w14:textId="46C2F778" w:rsidR="006D1175" w:rsidRDefault="002A4888" w:rsidP="0004484E">
      <w:pPr>
        <w:pStyle w:val="Caption"/>
      </w:pPr>
      <w:bookmarkStart w:id="99" w:name="_Toc143179913"/>
      <w:r>
        <w:lastRenderedPageBreak/>
        <w:t>Figure</w:t>
      </w:r>
      <w:r w:rsidR="006D1175" w:rsidRPr="006D1175">
        <w:t xml:space="preserve"> </w:t>
      </w:r>
      <w:r w:rsidR="006D1175" w:rsidRPr="006D1175">
        <w:fldChar w:fldCharType="begin"/>
      </w:r>
      <w:r w:rsidR="006D1175" w:rsidRPr="006D1175">
        <w:instrText xml:space="preserve"> SEQ Figure \* ARABIC </w:instrText>
      </w:r>
      <w:r w:rsidR="006D1175" w:rsidRPr="006D1175">
        <w:fldChar w:fldCharType="separate"/>
      </w:r>
      <w:r w:rsidR="00727B66">
        <w:rPr>
          <w:noProof/>
        </w:rPr>
        <w:t>9</w:t>
      </w:r>
      <w:r w:rsidR="006D1175" w:rsidRPr="006D1175">
        <w:fldChar w:fldCharType="end"/>
      </w:r>
      <w:r w:rsidR="006D1175" w:rsidRPr="006D1175">
        <w:t>: Crude Oil Price</w:t>
      </w:r>
      <w:bookmarkEnd w:id="99"/>
    </w:p>
    <w:p w14:paraId="7B9E1E12" w14:textId="12844196" w:rsidR="006D1175" w:rsidRDefault="002329E5" w:rsidP="006D1175">
      <w:pPr>
        <w:pStyle w:val="NumberedPara"/>
        <w:numPr>
          <w:ilvl w:val="0"/>
          <w:numId w:val="0"/>
        </w:numPr>
        <w:ind w:left="426"/>
        <w:jc w:val="center"/>
        <w:rPr>
          <w:b/>
          <w:bCs/>
        </w:rPr>
      </w:pPr>
      <w:r w:rsidRPr="002329E5">
        <w:rPr>
          <w:noProof/>
        </w:rPr>
        <w:drawing>
          <wp:inline distT="0" distB="0" distL="0" distR="0" wp14:anchorId="035E980F" wp14:editId="6E41E649">
            <wp:extent cx="5262880" cy="2943225"/>
            <wp:effectExtent l="0" t="0" r="0" b="9525"/>
            <wp:docPr id="688508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2880" cy="2943225"/>
                    </a:xfrm>
                    <a:prstGeom prst="rect">
                      <a:avLst/>
                    </a:prstGeom>
                    <a:noFill/>
                    <a:ln>
                      <a:noFill/>
                    </a:ln>
                  </pic:spPr>
                </pic:pic>
              </a:graphicData>
            </a:graphic>
          </wp:inline>
        </w:drawing>
      </w:r>
    </w:p>
    <w:p w14:paraId="29ACD216" w14:textId="76D4E15E" w:rsidR="006D1175" w:rsidRPr="00B268D3" w:rsidRDefault="00425232" w:rsidP="00B268D3">
      <w:pPr>
        <w:pStyle w:val="NumberedPara"/>
        <w:numPr>
          <w:ilvl w:val="0"/>
          <w:numId w:val="0"/>
        </w:numPr>
        <w:jc w:val="left"/>
        <w:rPr>
          <w:b/>
          <w:bCs/>
          <w:i/>
          <w:iCs/>
          <w:sz w:val="16"/>
          <w:szCs w:val="16"/>
        </w:rPr>
      </w:pPr>
      <w:r w:rsidRPr="00B268D3">
        <w:rPr>
          <w:i/>
          <w:iCs/>
          <w:sz w:val="16"/>
          <w:szCs w:val="16"/>
        </w:rPr>
        <w:t>Source</w:t>
      </w:r>
      <w:r w:rsidRPr="00B268D3">
        <w:rPr>
          <w:b/>
          <w:bCs/>
          <w:i/>
          <w:iCs/>
          <w:sz w:val="16"/>
          <w:szCs w:val="16"/>
        </w:rPr>
        <w:t>:</w:t>
      </w:r>
      <w:r w:rsidR="002A4888" w:rsidRPr="00B268D3">
        <w:rPr>
          <w:b/>
          <w:bCs/>
          <w:i/>
          <w:iCs/>
          <w:sz w:val="16"/>
          <w:szCs w:val="16"/>
        </w:rPr>
        <w:t xml:space="preserve"> </w:t>
      </w:r>
      <w:r w:rsidR="002329E5">
        <w:rPr>
          <w:i/>
          <w:iCs/>
          <w:sz w:val="16"/>
          <w:szCs w:val="16"/>
        </w:rPr>
        <w:t>OPEC, EIA</w:t>
      </w:r>
    </w:p>
    <w:p w14:paraId="382DB4AC" w14:textId="21FD22EF" w:rsidR="006914D6" w:rsidRDefault="006D1175" w:rsidP="006914D6">
      <w:pPr>
        <w:pStyle w:val="Heading3"/>
      </w:pPr>
      <w:bookmarkStart w:id="100" w:name="_Toc143179788"/>
      <w:r w:rsidRPr="006D1175">
        <w:t>Crude Oil Sales and Proceeds</w:t>
      </w:r>
      <w:bookmarkEnd w:id="100"/>
    </w:p>
    <w:p w14:paraId="4BFFB2AD" w14:textId="77777777" w:rsidR="006D1175" w:rsidRPr="006D1175" w:rsidRDefault="006D1175" w:rsidP="00B268D3">
      <w:pPr>
        <w:pStyle w:val="NumberedPara"/>
        <w:tabs>
          <w:tab w:val="clear" w:pos="2127"/>
          <w:tab w:val="num" w:pos="2552"/>
        </w:tabs>
        <w:ind w:left="567"/>
        <w:rPr>
          <w:lang w:val="en-US"/>
        </w:rPr>
      </w:pPr>
      <w:r w:rsidRPr="006D1175">
        <w:rPr>
          <w:lang w:val="en-US"/>
        </w:rPr>
        <w:t>Following the passage of the N21.8 trillion 2023 Budget by Nigeria’s National Assembly, the country has increased its crude oil benchmark to $75 per barrel from the previous $70 per barrel.  Crude oil production for 2023 has been pegged at 1.69 million barrels per day.</w:t>
      </w:r>
    </w:p>
    <w:p w14:paraId="2B7669F2" w14:textId="5FD6D718" w:rsidR="006D1175" w:rsidRPr="006D1175" w:rsidRDefault="006D1175" w:rsidP="00B268D3">
      <w:pPr>
        <w:pStyle w:val="NumberedPara"/>
        <w:tabs>
          <w:tab w:val="clear" w:pos="2127"/>
          <w:tab w:val="num" w:pos="2552"/>
        </w:tabs>
        <w:ind w:left="567"/>
        <w:rPr>
          <w:lang w:val="en-US"/>
        </w:rPr>
      </w:pPr>
      <w:r w:rsidRPr="006D1175">
        <w:rPr>
          <w:lang w:val="en-US"/>
        </w:rPr>
        <w:t>Nigerian National Petroleum Company (NNPC) Limited, the country has not been able to reach its OPEC quota of 1.8 million barrels per day or even its 2023 budget benchmark of 1.6 million barrels per day. This is because of certain challenges – lack of investments, economic, political and security risks, continuous crude production sabotage as well as the shift to renewable energy which has prompted many financial institutions and firms to abandon fossil fuel projects.</w:t>
      </w:r>
    </w:p>
    <w:p w14:paraId="78CB2D3F" w14:textId="63026B7E" w:rsidR="006D1175" w:rsidRPr="006D1175" w:rsidRDefault="006D1175" w:rsidP="00B268D3">
      <w:pPr>
        <w:pStyle w:val="NumberedPara"/>
        <w:tabs>
          <w:tab w:val="clear" w:pos="2127"/>
          <w:tab w:val="num" w:pos="2552"/>
        </w:tabs>
        <w:ind w:left="567"/>
        <w:rPr>
          <w:lang w:val="en-US"/>
        </w:rPr>
      </w:pPr>
      <w:r w:rsidRPr="006D1175">
        <w:rPr>
          <w:lang w:val="en-US"/>
        </w:rPr>
        <w:t>The current situation could be long-term, despite efforts to reverse the trend. The World Bank said that the Nigerian economy is set to grow by 2.8% in 2023, down from 3.3% in 2022, while oil production will remain subdued in 2023.</w:t>
      </w:r>
    </w:p>
    <w:p w14:paraId="4A92FBCB" w14:textId="79107714" w:rsidR="000F067F" w:rsidRPr="006D1175" w:rsidRDefault="006D1175" w:rsidP="00B268D3">
      <w:pPr>
        <w:pStyle w:val="NumberedPara"/>
        <w:tabs>
          <w:tab w:val="clear" w:pos="2127"/>
          <w:tab w:val="num" w:pos="2552"/>
        </w:tabs>
        <w:ind w:left="567"/>
        <w:rPr>
          <w:lang w:val="en-US"/>
        </w:rPr>
      </w:pPr>
      <w:r w:rsidRPr="006D1175">
        <w:rPr>
          <w:lang w:val="en-US"/>
        </w:rPr>
        <w:t>Nigeria’s crude oil sales rose by 46.41 per cent to push Nigeria’s total export to N26.79tn in 2022.</w:t>
      </w:r>
      <w:r w:rsidR="002329E5">
        <w:rPr>
          <w:lang w:val="en-US"/>
        </w:rPr>
        <w:t xml:space="preserve"> </w:t>
      </w:r>
      <w:r w:rsidRPr="006D1175">
        <w:rPr>
          <w:lang w:val="en-US"/>
        </w:rPr>
        <w:t>This is as total trade rose by 31.79 per cent from N39.75tn in 2021 to N52.39tn in 2022. In 2022, crude oil sales totaled N21.09tn, a 46.41 per cent increase from N14.41tn in 2021. In 2022, crude oil accounted for 78.74 per cent of total export.</w:t>
      </w:r>
    </w:p>
    <w:p w14:paraId="516ED47C" w14:textId="61AE45FF" w:rsidR="000F067F" w:rsidRDefault="001C7195" w:rsidP="000F067F">
      <w:pPr>
        <w:pStyle w:val="Heading3"/>
      </w:pPr>
      <w:bookmarkStart w:id="101" w:name="_Toc143179789"/>
      <w:r>
        <w:t xml:space="preserve">Broader </w:t>
      </w:r>
      <w:r w:rsidR="006D1175" w:rsidRPr="006D1175">
        <w:t>Mineral Sector Performance Outlook</w:t>
      </w:r>
      <w:bookmarkEnd w:id="101"/>
    </w:p>
    <w:p w14:paraId="620D63DB" w14:textId="0ED8EB67" w:rsidR="006D1175" w:rsidRDefault="006D1175" w:rsidP="00B268D3">
      <w:pPr>
        <w:pStyle w:val="NumberedPara"/>
        <w:tabs>
          <w:tab w:val="clear" w:pos="2127"/>
          <w:tab w:val="num" w:pos="2552"/>
        </w:tabs>
        <w:ind w:left="567"/>
      </w:pPr>
      <w:r>
        <w:t xml:space="preserve">According to data from Nigeria Mining Sector Watch report 2022, The non-oil sector has continued to be the lifeblood of the Nigerian economy. As at the third quarter of 2022, the non-oil sector contributed 94.34% (in real terms) to the nation’s Gross Domestic product (GDP), higher than the share recorded in the third quarter of 2021 which was 92.51% and higher than the second quarter of 2022 recorded as 93.67%1. However, the Nigerian mining sector (“the Sector”) only contributed a </w:t>
      </w:r>
      <w:r w:rsidR="001C7195">
        <w:t>meagre</w:t>
      </w:r>
      <w:r>
        <w:t xml:space="preserve"> 0.3% to Nigeria’s GDP in Q3 of 2022, although higher than the GDP contribution recorded in Q3 of 2021 i.e., 0.2%</w:t>
      </w:r>
    </w:p>
    <w:p w14:paraId="36BCB32F" w14:textId="77777777" w:rsidR="006D1175" w:rsidRDefault="006D1175" w:rsidP="00B268D3">
      <w:pPr>
        <w:pStyle w:val="NumberedPara"/>
        <w:tabs>
          <w:tab w:val="clear" w:pos="2127"/>
          <w:tab w:val="num" w:pos="2552"/>
        </w:tabs>
        <w:ind w:left="567"/>
      </w:pPr>
      <w:r>
        <w:t xml:space="preserve">High grade lithium deposits have been discovered in different parts of the country, thereby enlisting Nigeria as one of the Lithium-rich countries in the world. The mineral has so far been discovered in the northern states of Kogi, Nasarawa, </w:t>
      </w:r>
      <w:proofErr w:type="spellStart"/>
      <w:r>
        <w:t>Kwara</w:t>
      </w:r>
      <w:proofErr w:type="spellEnd"/>
      <w:r>
        <w:t xml:space="preserve"> and Plateau, as well as Oyo, Ekiti and Cross River in the south.</w:t>
      </w:r>
    </w:p>
    <w:p w14:paraId="0032D7C3" w14:textId="47B9A471" w:rsidR="006D1175" w:rsidRDefault="006D1175" w:rsidP="00B268D3">
      <w:pPr>
        <w:pStyle w:val="NumberedPara"/>
        <w:tabs>
          <w:tab w:val="clear" w:pos="2127"/>
          <w:tab w:val="num" w:pos="2552"/>
        </w:tabs>
        <w:ind w:left="567"/>
      </w:pPr>
      <w:r>
        <w:lastRenderedPageBreak/>
        <w:t xml:space="preserve">According to the Nigerian Geological Survey Agency, Nigeria’s lithium is acclaimed to be of high grade given its lithium oxide content which ranges from 1 percent </w:t>
      </w:r>
      <w:proofErr w:type="gramStart"/>
      <w:r>
        <w:t>up</w:t>
      </w:r>
      <w:proofErr w:type="gramEnd"/>
      <w:r>
        <w:t xml:space="preserve"> </w:t>
      </w:r>
    </w:p>
    <w:p w14:paraId="398C0478" w14:textId="77777777" w:rsidR="006D1175" w:rsidRDefault="006D1175" w:rsidP="00B268D3">
      <w:pPr>
        <w:pStyle w:val="NumberedPara"/>
        <w:tabs>
          <w:tab w:val="clear" w:pos="2127"/>
          <w:tab w:val="num" w:pos="2552"/>
        </w:tabs>
        <w:ind w:left="567"/>
      </w:pPr>
      <w:r>
        <w:t>to 13 percent, whereas the global standard for Lithium exploration and mining starts from 0.4 percent lithium oxide content.</w:t>
      </w:r>
    </w:p>
    <w:p w14:paraId="4171A7E1" w14:textId="13264FB4" w:rsidR="00763EB8" w:rsidRPr="006D1175" w:rsidRDefault="006D1175" w:rsidP="00B268D3">
      <w:pPr>
        <w:pStyle w:val="NumberedPara"/>
        <w:tabs>
          <w:tab w:val="clear" w:pos="2127"/>
          <w:tab w:val="num" w:pos="2552"/>
        </w:tabs>
        <w:ind w:left="567"/>
      </w:pPr>
      <w:r>
        <w:t xml:space="preserve">The Nigerian mining sector is no doubt, capable of providing a wide array of opportunities for the overall development and industrialization of the economy. However, the actualization of this objective depends on the FG’s political will to revitalize the Sector. </w:t>
      </w:r>
      <w:r w:rsidRPr="006D1175">
        <w:rPr>
          <w:i/>
          <w:iCs/>
        </w:rPr>
        <w:t>(Nigeria Mining Sector Watch report 2022)</w:t>
      </w:r>
      <w:bookmarkEnd w:id="96"/>
      <w:bookmarkEnd w:id="97"/>
    </w:p>
    <w:p w14:paraId="27529242" w14:textId="36AA579D" w:rsidR="006D1175" w:rsidRPr="006D1175" w:rsidRDefault="006D1175" w:rsidP="006D1175">
      <w:pPr>
        <w:pStyle w:val="Heading2"/>
      </w:pPr>
      <w:bookmarkStart w:id="102" w:name="_Toc143179790"/>
      <w:r w:rsidRPr="006D1175">
        <w:t>Kaduna State Economy</w:t>
      </w:r>
      <w:bookmarkEnd w:id="102"/>
    </w:p>
    <w:p w14:paraId="7F0D9DD9" w14:textId="13225771" w:rsidR="00763EB8" w:rsidRDefault="006D1175" w:rsidP="00B268D3">
      <w:pPr>
        <w:pStyle w:val="NumberedPara"/>
        <w:tabs>
          <w:tab w:val="clear" w:pos="2127"/>
        </w:tabs>
        <w:ind w:left="567"/>
      </w:pPr>
      <w:r w:rsidRPr="006D1175">
        <w:t xml:space="preserve">Kaduna State will witness a transition in Government in 2023. After eight years of continuity in policy, </w:t>
      </w:r>
      <w:r w:rsidR="004F3525" w:rsidRPr="006D1175">
        <w:t>reforms</w:t>
      </w:r>
      <w:r w:rsidR="004F3525">
        <w:t>,</w:t>
      </w:r>
      <w:r w:rsidRPr="006D1175">
        <w:t xml:space="preserve"> and other achievements, it is the desire of the current administration for a high level of continuity in governance and policy so that the reforms achieved are not lost.  Over the years, the economy of Kaduna State has grown strongly, albeit with a with slight dip to 2.78% growth in 2017 and a recession of -1.33% in 2020 because of COVID-19. However, the economy recovered significantly in 2021, with growth bouncing back to an impressive 7.4%, which more than recaptured the losses experienced in 2020. The strong growth over recent years has been positively influenced by transformations in the areas of Capital Projects and other Institutional Reforms.</w:t>
      </w:r>
    </w:p>
    <w:p w14:paraId="09FA44CF" w14:textId="2B6FB01D" w:rsidR="00763EB8" w:rsidRDefault="006D1175" w:rsidP="00763EB8">
      <w:pPr>
        <w:pStyle w:val="Heading3"/>
      </w:pPr>
      <w:bookmarkStart w:id="103" w:name="_Toc143179791"/>
      <w:r w:rsidRPr="006D1175">
        <w:t>Kaduna GDP</w:t>
      </w:r>
      <w:bookmarkEnd w:id="103"/>
    </w:p>
    <w:p w14:paraId="30391E0D" w14:textId="58CED3F7" w:rsidR="006D1175" w:rsidRDefault="006D1175" w:rsidP="00B268D3">
      <w:pPr>
        <w:pStyle w:val="NumberedPara"/>
        <w:tabs>
          <w:tab w:val="clear" w:pos="2127"/>
        </w:tabs>
        <w:ind w:left="567"/>
      </w:pPr>
      <w:r w:rsidRPr="006D1175">
        <w:t xml:space="preserve">It is anticipated that the economy will see higher levels of growth in the agriculture sector, especially </w:t>
      </w:r>
      <w:proofErr w:type="gramStart"/>
      <w:r w:rsidRPr="006D1175">
        <w:t>in the area of</w:t>
      </w:r>
      <w:proofErr w:type="gramEnd"/>
      <w:r w:rsidRPr="006D1175">
        <w:t xml:space="preserve"> crop production as security improves. It is also anticipated that Kaduna State is also looking increase economic activity around Information and communication technology as people will be compelled to use modern technology in all aspects of life – the State Government is making investments to help foster growth in this area. Whilst the outgoing administration is desirous to complete all ongoing capital projects, particularly those under the urban renewal programme, before handing over to the new administration, the current fiscal challenges and the time taken to procure, mobilise and complete major economic infrastructure projects means there will inevitably be an element of carried forward. It should be incumbent on the new administration to finish such projects to realise the vast economic benefits associated.</w:t>
      </w:r>
    </w:p>
    <w:p w14:paraId="3CAE8169" w14:textId="00544E3C" w:rsidR="006D1175" w:rsidRDefault="006D1175" w:rsidP="006D1175">
      <w:pPr>
        <w:pStyle w:val="Heading3"/>
      </w:pPr>
      <w:bookmarkStart w:id="104" w:name="_Toc143179792"/>
      <w:r w:rsidRPr="006D1175">
        <w:t>Kaduna CPI and IGR</w:t>
      </w:r>
      <w:bookmarkEnd w:id="104"/>
    </w:p>
    <w:p w14:paraId="2B7D64F6" w14:textId="4E8EF571" w:rsidR="00AC25FC" w:rsidRPr="004F3525" w:rsidRDefault="006D1175" w:rsidP="00B268D3">
      <w:pPr>
        <w:pStyle w:val="NumberedPara"/>
        <w:tabs>
          <w:tab w:val="clear" w:pos="2127"/>
          <w:tab w:val="num" w:pos="1135"/>
        </w:tabs>
        <w:ind w:left="567"/>
      </w:pPr>
      <w:r w:rsidRPr="004F3525">
        <w:t xml:space="preserve">Kaduna State’s Inflation Rate persistently increased throughout the year 2022. Food prices and other basic commodities are on the increase. Though the State recorded 20.32% in December 2022 as against National figures of 21.34%, we foresee double digits of inflation figures in the State by 2023, even higher than 2022 average of 17.51%. This is due to fuel scarcity, subsidy removal and insecurity. The inflationary pressures are being generated by multiple demand and supply side shocks including the global increase in commodity prices and the continued devaluation of the naira. Associated containment measures have eased, but security issues, partial border closures and limited access to markets </w:t>
      </w:r>
      <w:r w:rsidR="00AC25FC" w:rsidRPr="004F3525">
        <w:t xml:space="preserve">continue </w:t>
      </w:r>
      <w:r w:rsidRPr="004F3525">
        <w:t>to fuel inflation. If double-digit inflation persists during 2023-2024, rising prices will distort consumption, investment, and saving decisions of the government, households, and firms, with adverse ramifications for long-term borrowing and lending.</w:t>
      </w:r>
    </w:p>
    <w:p w14:paraId="00915614" w14:textId="276A7343" w:rsidR="00B268D3" w:rsidRDefault="00B268D3" w:rsidP="00B268D3">
      <w:pPr>
        <w:pStyle w:val="Caption"/>
      </w:pPr>
      <w:bookmarkStart w:id="105" w:name="_Toc143179914"/>
      <w:r>
        <w:lastRenderedPageBreak/>
        <w:t xml:space="preserve">Figure </w:t>
      </w:r>
      <w:r>
        <w:fldChar w:fldCharType="begin"/>
      </w:r>
      <w:r>
        <w:instrText xml:space="preserve"> SEQ Figure \* ARABIC </w:instrText>
      </w:r>
      <w:r>
        <w:fldChar w:fldCharType="separate"/>
      </w:r>
      <w:r w:rsidR="00727B66">
        <w:rPr>
          <w:noProof/>
        </w:rPr>
        <w:t>10</w:t>
      </w:r>
      <w:r>
        <w:fldChar w:fldCharType="end"/>
      </w:r>
      <w:r>
        <w:t>: Kaduna State and Nigeria Inflation Trend 12 Month Series</w:t>
      </w:r>
      <w:bookmarkEnd w:id="105"/>
    </w:p>
    <w:p w14:paraId="3E693DA2" w14:textId="3F5BA625" w:rsidR="00AC25FC" w:rsidRDefault="00AC25FC" w:rsidP="00AC25FC">
      <w:pPr>
        <w:pStyle w:val="NumberedPara"/>
        <w:numPr>
          <w:ilvl w:val="0"/>
          <w:numId w:val="0"/>
        </w:numPr>
        <w:ind w:left="426"/>
      </w:pPr>
      <w:r w:rsidRPr="00AC25FC">
        <w:rPr>
          <w:noProof/>
          <w:lang w:val="en-US" w:eastAsia="en-US"/>
        </w:rPr>
        <w:drawing>
          <wp:inline distT="0" distB="0" distL="0" distR="0" wp14:anchorId="17549DB9" wp14:editId="7E1300BC">
            <wp:extent cx="4839212" cy="2329732"/>
            <wp:effectExtent l="0" t="0" r="0" b="0"/>
            <wp:docPr id="74538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t="19264"/>
                    <a:stretch/>
                  </pic:blipFill>
                  <pic:spPr bwMode="auto">
                    <a:xfrm>
                      <a:off x="0" y="0"/>
                      <a:ext cx="4846567" cy="2333273"/>
                    </a:xfrm>
                    <a:prstGeom prst="rect">
                      <a:avLst/>
                    </a:prstGeom>
                    <a:noFill/>
                    <a:ln>
                      <a:noFill/>
                    </a:ln>
                    <a:extLst>
                      <a:ext uri="{53640926-AAD7-44D8-BBD7-CCE9431645EC}">
                        <a14:shadowObscured xmlns:a14="http://schemas.microsoft.com/office/drawing/2010/main"/>
                      </a:ext>
                    </a:extLst>
                  </pic:spPr>
                </pic:pic>
              </a:graphicData>
            </a:graphic>
          </wp:inline>
        </w:drawing>
      </w:r>
    </w:p>
    <w:p w14:paraId="69AE7008" w14:textId="6AC01602" w:rsidR="00AC25FC" w:rsidRPr="00B268D3" w:rsidRDefault="00AC25FC" w:rsidP="0004484E">
      <w:pPr>
        <w:pStyle w:val="NumberedPara"/>
        <w:numPr>
          <w:ilvl w:val="0"/>
          <w:numId w:val="0"/>
        </w:numPr>
        <w:ind w:left="426"/>
        <w:rPr>
          <w:i/>
          <w:iCs/>
          <w:sz w:val="16"/>
          <w:szCs w:val="16"/>
        </w:rPr>
      </w:pPr>
      <w:r w:rsidRPr="00B268D3">
        <w:rPr>
          <w:i/>
          <w:iCs/>
          <w:sz w:val="16"/>
          <w:szCs w:val="16"/>
        </w:rPr>
        <w:t>Source: KDBS CPI report 2022</w:t>
      </w:r>
    </w:p>
    <w:p w14:paraId="77D80C8A" w14:textId="28871C17" w:rsidR="00CE33BB" w:rsidRDefault="006D1175" w:rsidP="00B268D3">
      <w:pPr>
        <w:pStyle w:val="NumberedPara"/>
        <w:tabs>
          <w:tab w:val="clear" w:pos="2127"/>
        </w:tabs>
        <w:ind w:left="567"/>
      </w:pPr>
      <w:r>
        <w:t xml:space="preserve">Internally Generated Revenue (IGR) remains an important revenue source for Kaduna State, with the Kaduna Internal Revenue Service (KADIRS) </w:t>
      </w:r>
      <w:proofErr w:type="spellStart"/>
      <w:r w:rsidR="004F3525">
        <w:t>marshaling</w:t>
      </w:r>
      <w:proofErr w:type="spellEnd"/>
      <w:r>
        <w:t xml:space="preserve"> the progressive rise of the State’s IGR from N23bn in 2016, to N58.09bn recorded in 2022. This has been achieved largely by carrying out sweeping reforms geared towards improving productivity, blocking leakages, and diversifying revenue sources, even though taxation remains the main source of revenue collected.</w:t>
      </w:r>
    </w:p>
    <w:p w14:paraId="234CDE9C" w14:textId="5CC3DA25" w:rsidR="00FB07A2" w:rsidRDefault="00FB07A2" w:rsidP="00FB07A2">
      <w:pPr>
        <w:pStyle w:val="Caption"/>
      </w:pPr>
      <w:bookmarkStart w:id="106" w:name="_Ref106572609"/>
      <w:bookmarkStart w:id="107" w:name="_Toc107777895"/>
      <w:bookmarkStart w:id="108" w:name="_Toc143179915"/>
      <w:r>
        <w:t xml:space="preserve">Figure </w:t>
      </w:r>
      <w:r>
        <w:fldChar w:fldCharType="begin"/>
      </w:r>
      <w:r>
        <w:instrText xml:space="preserve"> SEQ Figure \* ARABIC </w:instrText>
      </w:r>
      <w:r>
        <w:fldChar w:fldCharType="separate"/>
      </w:r>
      <w:r w:rsidR="00727B66">
        <w:rPr>
          <w:noProof/>
        </w:rPr>
        <w:t>11</w:t>
      </w:r>
      <w:r>
        <w:fldChar w:fldCharType="end"/>
      </w:r>
      <w:bookmarkEnd w:id="106"/>
      <w:r>
        <w:t>: IGR Trend in Kaduna</w:t>
      </w:r>
      <w:bookmarkEnd w:id="107"/>
      <w:bookmarkEnd w:id="108"/>
    </w:p>
    <w:p w14:paraId="728259FA" w14:textId="3ED6B24A" w:rsidR="00FB07A2" w:rsidRDefault="006D1175" w:rsidP="00FB07A2">
      <w:pPr>
        <w:jc w:val="center"/>
      </w:pPr>
      <w:r>
        <w:rPr>
          <w:noProof/>
          <w:lang w:val="en-US" w:eastAsia="en-US"/>
        </w:rPr>
        <w:drawing>
          <wp:inline distT="0" distB="0" distL="0" distR="0" wp14:anchorId="499D7261" wp14:editId="39F0786B">
            <wp:extent cx="4968875" cy="2467555"/>
            <wp:effectExtent l="0" t="0" r="3175" b="9525"/>
            <wp:docPr id="1875801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t="13876"/>
                    <a:stretch/>
                  </pic:blipFill>
                  <pic:spPr bwMode="auto">
                    <a:xfrm>
                      <a:off x="0" y="0"/>
                      <a:ext cx="4968875" cy="2467555"/>
                    </a:xfrm>
                    <a:prstGeom prst="rect">
                      <a:avLst/>
                    </a:prstGeom>
                    <a:noFill/>
                    <a:ln>
                      <a:noFill/>
                    </a:ln>
                    <a:extLst>
                      <a:ext uri="{53640926-AAD7-44D8-BBD7-CCE9431645EC}">
                        <a14:shadowObscured xmlns:a14="http://schemas.microsoft.com/office/drawing/2010/main"/>
                      </a:ext>
                    </a:extLst>
                  </pic:spPr>
                </pic:pic>
              </a:graphicData>
            </a:graphic>
          </wp:inline>
        </w:drawing>
      </w:r>
    </w:p>
    <w:p w14:paraId="49A1B477" w14:textId="31A87610" w:rsidR="00F64CD4" w:rsidRPr="00F64CD4" w:rsidRDefault="006D1175" w:rsidP="00B268D3">
      <w:pPr>
        <w:ind w:left="426"/>
        <w:rPr>
          <w:i/>
          <w:sz w:val="16"/>
          <w:szCs w:val="16"/>
        </w:rPr>
      </w:pPr>
      <w:r w:rsidRPr="006D1175">
        <w:rPr>
          <w:i/>
          <w:sz w:val="16"/>
          <w:szCs w:val="16"/>
        </w:rPr>
        <w:t>Source: EIU 2023 Macroeconomic Outlook</w:t>
      </w:r>
    </w:p>
    <w:p w14:paraId="3143BD2F" w14:textId="2EA2A626" w:rsidR="00FB07A2" w:rsidRDefault="00FB07A2" w:rsidP="00FB07A2">
      <w:pPr>
        <w:pStyle w:val="Heading3"/>
      </w:pPr>
      <w:bookmarkStart w:id="109" w:name="_Toc106568628"/>
      <w:bookmarkStart w:id="110" w:name="_Toc143179793"/>
      <w:r w:rsidRPr="00FB07A2">
        <w:t xml:space="preserve">Kaduna </w:t>
      </w:r>
      <w:r w:rsidR="00B40BE0">
        <w:t>S</w:t>
      </w:r>
      <w:r w:rsidRPr="00FB07A2">
        <w:t>tate Debt Profile</w:t>
      </w:r>
      <w:bookmarkEnd w:id="109"/>
      <w:bookmarkEnd w:id="110"/>
    </w:p>
    <w:p w14:paraId="1FD62BD0" w14:textId="4D9FC7E6" w:rsidR="00FB07A2" w:rsidRDefault="006D1175" w:rsidP="00B268D3">
      <w:pPr>
        <w:pStyle w:val="NumberedPara"/>
        <w:tabs>
          <w:tab w:val="clear" w:pos="2127"/>
          <w:tab w:val="num" w:pos="1135"/>
          <w:tab w:val="num" w:pos="1560"/>
        </w:tabs>
        <w:ind w:left="567"/>
      </w:pPr>
      <w:r w:rsidRPr="006D1175">
        <w:t>Kaduna was ranked the 2nd most indebted state in Nigeria in terms of foreign debt with a total foreign debt of ₦269bn as of January 2023 and domestic debt of ₦83bn which amounted to ₦352bn as the total debt stock. The State’s debt stock has risen steadily over the years with the highest increase of 55% - from ₦160bn to ₦248bn – witnessed in 2019. Foreign debt makes up the bulk of Kaduna’s total debt stock with the foreign debt to domestic debt ratio being 3.24:1, meaning that Kaduna State’s foreign debt is more than 3 times its domestic debt stock.</w:t>
      </w:r>
    </w:p>
    <w:p w14:paraId="12F3C59D" w14:textId="7A9F2988" w:rsidR="00FB07A2" w:rsidRDefault="00FB07A2" w:rsidP="00FB07A2">
      <w:pPr>
        <w:pStyle w:val="Caption"/>
      </w:pPr>
      <w:bookmarkStart w:id="111" w:name="_Toc107777896"/>
      <w:bookmarkStart w:id="112" w:name="_Toc143179916"/>
      <w:bookmarkStart w:id="113" w:name="_Hlk139447379"/>
      <w:r>
        <w:lastRenderedPageBreak/>
        <w:t xml:space="preserve">Figure </w:t>
      </w:r>
      <w:r>
        <w:fldChar w:fldCharType="begin"/>
      </w:r>
      <w:r>
        <w:instrText xml:space="preserve"> SEQ Figure \* ARABIC </w:instrText>
      </w:r>
      <w:r>
        <w:fldChar w:fldCharType="separate"/>
      </w:r>
      <w:r w:rsidR="00727B66">
        <w:rPr>
          <w:noProof/>
        </w:rPr>
        <w:t>12</w:t>
      </w:r>
      <w:r>
        <w:fldChar w:fldCharType="end"/>
      </w:r>
      <w:r>
        <w:t xml:space="preserve">: </w:t>
      </w:r>
      <w:bookmarkEnd w:id="111"/>
      <w:r w:rsidR="006D1175" w:rsidRPr="006D1175">
        <w:t>Kaduna State Total Debt Stock Actuals and Projections</w:t>
      </w:r>
      <w:bookmarkEnd w:id="112"/>
    </w:p>
    <w:bookmarkEnd w:id="113"/>
    <w:p w14:paraId="1D41CC1A" w14:textId="494A1C80" w:rsidR="00FB07A2" w:rsidRDefault="006D1175" w:rsidP="00FB07A2">
      <w:pPr>
        <w:jc w:val="center"/>
      </w:pPr>
      <w:r>
        <w:rPr>
          <w:noProof/>
          <w:lang w:val="en-US" w:eastAsia="en-US"/>
        </w:rPr>
        <w:drawing>
          <wp:inline distT="0" distB="0" distL="0" distR="0" wp14:anchorId="1722EF30" wp14:editId="7217035F">
            <wp:extent cx="4916958" cy="2671638"/>
            <wp:effectExtent l="0" t="0" r="0" b="0"/>
            <wp:docPr id="1631668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1068" cy="2679305"/>
                    </a:xfrm>
                    <a:prstGeom prst="rect">
                      <a:avLst/>
                    </a:prstGeom>
                    <a:noFill/>
                  </pic:spPr>
                </pic:pic>
              </a:graphicData>
            </a:graphic>
          </wp:inline>
        </w:drawing>
      </w:r>
    </w:p>
    <w:p w14:paraId="2A68365C" w14:textId="0771CD32" w:rsidR="00F64CD4" w:rsidRPr="00F64CD4" w:rsidRDefault="006D1175" w:rsidP="00B268D3">
      <w:pPr>
        <w:ind w:left="426"/>
        <w:rPr>
          <w:i/>
          <w:sz w:val="16"/>
          <w:szCs w:val="16"/>
        </w:rPr>
      </w:pPr>
      <w:r w:rsidRPr="006D1175">
        <w:rPr>
          <w:i/>
          <w:sz w:val="16"/>
          <w:szCs w:val="16"/>
        </w:rPr>
        <w:t>Source: EIU 2023 Macroeconomic Outlook</w:t>
      </w:r>
    </w:p>
    <w:p w14:paraId="4FCFBEAD" w14:textId="3CE15F40" w:rsidR="00830CF2" w:rsidRDefault="006D1175" w:rsidP="00B268D3">
      <w:pPr>
        <w:pStyle w:val="NumberedPara"/>
        <w:tabs>
          <w:tab w:val="clear" w:pos="2127"/>
          <w:tab w:val="num" w:pos="2410"/>
        </w:tabs>
        <w:ind w:left="567"/>
      </w:pPr>
      <w:r w:rsidRPr="006D1175">
        <w:t>The above figure shows that the debt stock of the state has increased from 2017 – 2022. The projection shows an increase in the debt stock if there is a higher-than-expected expenditure. But with a lower expenditure and a boost in revenue, the debt stock may reduce in the coming years.</w:t>
      </w:r>
    </w:p>
    <w:p w14:paraId="15E5785E" w14:textId="713D617A" w:rsidR="00B268D3" w:rsidRDefault="00B268D3" w:rsidP="00B268D3">
      <w:pPr>
        <w:pStyle w:val="Caption"/>
      </w:pPr>
      <w:bookmarkStart w:id="114" w:name="_Toc143179917"/>
      <w:bookmarkStart w:id="115" w:name="_Hlk139447868"/>
      <w:r>
        <w:t xml:space="preserve">Figure </w:t>
      </w:r>
      <w:r>
        <w:fldChar w:fldCharType="begin"/>
      </w:r>
      <w:r>
        <w:instrText xml:space="preserve"> SEQ Figure \* ARABIC </w:instrText>
      </w:r>
      <w:r>
        <w:fldChar w:fldCharType="separate"/>
      </w:r>
      <w:r w:rsidR="00727B66">
        <w:rPr>
          <w:noProof/>
        </w:rPr>
        <w:t>13</w:t>
      </w:r>
      <w:r>
        <w:fldChar w:fldCharType="end"/>
      </w:r>
      <w:r>
        <w:t xml:space="preserve">: </w:t>
      </w:r>
      <w:r w:rsidRPr="006D1175">
        <w:t xml:space="preserve">Kaduna State </w:t>
      </w:r>
      <w:r>
        <w:t>Domestic and External Debts</w:t>
      </w:r>
      <w:bookmarkEnd w:id="114"/>
    </w:p>
    <w:bookmarkEnd w:id="115"/>
    <w:p w14:paraId="6B88C3CE" w14:textId="2F89C1E3" w:rsidR="00AF0A9D" w:rsidRDefault="00AF0A9D" w:rsidP="0004484E">
      <w:pPr>
        <w:pStyle w:val="NumberedPara"/>
        <w:numPr>
          <w:ilvl w:val="0"/>
          <w:numId w:val="0"/>
        </w:numPr>
        <w:ind w:left="426"/>
      </w:pPr>
      <w:r w:rsidRPr="00AF0A9D">
        <w:rPr>
          <w:noProof/>
          <w:lang w:val="en-US" w:eastAsia="en-US"/>
        </w:rPr>
        <w:drawing>
          <wp:inline distT="0" distB="0" distL="0" distR="0" wp14:anchorId="15E1EDE8" wp14:editId="456827FC">
            <wp:extent cx="5021847" cy="2997641"/>
            <wp:effectExtent l="0" t="0" r="7620" b="0"/>
            <wp:docPr id="1457601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8109"/>
                    <a:stretch/>
                  </pic:blipFill>
                  <pic:spPr bwMode="auto">
                    <a:xfrm>
                      <a:off x="0" y="0"/>
                      <a:ext cx="5070996" cy="3026979"/>
                    </a:xfrm>
                    <a:prstGeom prst="rect">
                      <a:avLst/>
                    </a:prstGeom>
                    <a:noFill/>
                    <a:ln>
                      <a:noFill/>
                    </a:ln>
                    <a:extLst>
                      <a:ext uri="{53640926-AAD7-44D8-BBD7-CCE9431645EC}">
                        <a14:shadowObscured xmlns:a14="http://schemas.microsoft.com/office/drawing/2010/main"/>
                      </a:ext>
                    </a:extLst>
                  </pic:spPr>
                </pic:pic>
              </a:graphicData>
            </a:graphic>
          </wp:inline>
        </w:drawing>
      </w:r>
    </w:p>
    <w:p w14:paraId="731C179C" w14:textId="77777777" w:rsidR="00B76AD5" w:rsidRPr="00B76AD5" w:rsidRDefault="00B76AD5" w:rsidP="00B76AD5">
      <w:pPr>
        <w:pStyle w:val="NumberedPara"/>
        <w:numPr>
          <w:ilvl w:val="0"/>
          <w:numId w:val="0"/>
        </w:numPr>
        <w:ind w:left="426" w:hanging="426"/>
        <w:rPr>
          <w:i/>
          <w:iCs/>
          <w:sz w:val="16"/>
          <w:szCs w:val="16"/>
        </w:rPr>
      </w:pPr>
      <w:r w:rsidRPr="00B76AD5">
        <w:rPr>
          <w:i/>
          <w:iCs/>
          <w:sz w:val="16"/>
          <w:szCs w:val="16"/>
        </w:rPr>
        <w:t>Source: Kad-DSA</w:t>
      </w:r>
    </w:p>
    <w:p w14:paraId="426B07B3" w14:textId="77777777" w:rsidR="00B76AD5" w:rsidRDefault="00B76AD5" w:rsidP="0004484E">
      <w:pPr>
        <w:pStyle w:val="NumberedPara"/>
        <w:numPr>
          <w:ilvl w:val="0"/>
          <w:numId w:val="0"/>
        </w:numPr>
        <w:ind w:left="426"/>
      </w:pPr>
    </w:p>
    <w:p w14:paraId="3325A9F5" w14:textId="13D51093" w:rsidR="00AF0A9D" w:rsidRDefault="00AF0A9D" w:rsidP="00B268D3">
      <w:pPr>
        <w:pStyle w:val="NumberedPara"/>
        <w:tabs>
          <w:tab w:val="clear" w:pos="2127"/>
          <w:tab w:val="num" w:pos="2410"/>
        </w:tabs>
        <w:ind w:left="567"/>
      </w:pPr>
      <w:r w:rsidRPr="00AF0A9D">
        <w:t xml:space="preserve">The graph above is a presentation of both </w:t>
      </w:r>
      <w:r w:rsidR="00B268D3" w:rsidRPr="00AF0A9D">
        <w:t>Kaduna</w:t>
      </w:r>
      <w:r w:rsidRPr="00AF0A9D">
        <w:t xml:space="preserve"> state’s domestic and external debts. It shows that the state has more external debts than domestic. The implication of Excessive levels of foreign debt can hamper Kaduna’s' ability to invest in their economic future—whether it be via infrastructure, education, or health care—as their limited revenue goes to servicing their loans. This could equally thwart long-term economic growth of the state.</w:t>
      </w:r>
    </w:p>
    <w:p w14:paraId="7C7DEE36" w14:textId="15A1B6FB" w:rsidR="00B76AD5" w:rsidRDefault="00B76AD5" w:rsidP="00B76AD5">
      <w:pPr>
        <w:pStyle w:val="Caption"/>
      </w:pPr>
      <w:bookmarkStart w:id="116" w:name="_Toc143179942"/>
      <w:r>
        <w:lastRenderedPageBreak/>
        <w:t xml:space="preserve">Table </w:t>
      </w:r>
      <w:r>
        <w:fldChar w:fldCharType="begin"/>
      </w:r>
      <w:r>
        <w:instrText xml:space="preserve"> SEQ Table \* ARABIC </w:instrText>
      </w:r>
      <w:r>
        <w:fldChar w:fldCharType="separate"/>
      </w:r>
      <w:r w:rsidR="00727B66">
        <w:rPr>
          <w:noProof/>
        </w:rPr>
        <w:t>5</w:t>
      </w:r>
      <w:r>
        <w:fldChar w:fldCharType="end"/>
      </w:r>
      <w:r>
        <w:t xml:space="preserve">: </w:t>
      </w:r>
      <w:r w:rsidRPr="006D1175">
        <w:t xml:space="preserve">Kaduna State </w:t>
      </w:r>
      <w:r>
        <w:t>Domestic and External Debts/Servicing 2017-2022</w:t>
      </w:r>
      <w:bookmarkEnd w:id="116"/>
    </w:p>
    <w:p w14:paraId="51411A6D" w14:textId="4B31DCB6" w:rsidR="00AF0A9D" w:rsidRDefault="00AF0A9D" w:rsidP="00AF0A9D">
      <w:pPr>
        <w:pStyle w:val="NumberedPara"/>
        <w:numPr>
          <w:ilvl w:val="0"/>
          <w:numId w:val="0"/>
        </w:numPr>
        <w:ind w:left="426"/>
      </w:pPr>
      <w:r w:rsidRPr="00AF0A9D">
        <w:rPr>
          <w:noProof/>
          <w:lang w:val="en-US" w:eastAsia="en-US"/>
        </w:rPr>
        <w:drawing>
          <wp:inline distT="0" distB="0" distL="0" distR="0" wp14:anchorId="076BA4EF" wp14:editId="399F6C21">
            <wp:extent cx="5295900" cy="2453005"/>
            <wp:effectExtent l="0" t="0" r="0" b="4445"/>
            <wp:docPr id="1484403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9070" cy="2459105"/>
                    </a:xfrm>
                    <a:prstGeom prst="rect">
                      <a:avLst/>
                    </a:prstGeom>
                    <a:noFill/>
                    <a:ln>
                      <a:noFill/>
                    </a:ln>
                  </pic:spPr>
                </pic:pic>
              </a:graphicData>
            </a:graphic>
          </wp:inline>
        </w:drawing>
      </w:r>
    </w:p>
    <w:p w14:paraId="40BA46F1" w14:textId="149A485D" w:rsidR="00AF0A9D" w:rsidRDefault="00AF0A9D" w:rsidP="00AF0A9D">
      <w:pPr>
        <w:pStyle w:val="NumberedPara"/>
        <w:numPr>
          <w:ilvl w:val="0"/>
          <w:numId w:val="0"/>
        </w:numPr>
        <w:ind w:left="426" w:hanging="426"/>
        <w:rPr>
          <w:i/>
          <w:iCs/>
          <w:sz w:val="16"/>
          <w:szCs w:val="16"/>
        </w:rPr>
      </w:pPr>
      <w:bookmarkStart w:id="117" w:name="_Hlk139447904"/>
      <w:bookmarkStart w:id="118" w:name="_Hlk138425122"/>
      <w:r w:rsidRPr="00B76AD5">
        <w:rPr>
          <w:i/>
          <w:iCs/>
          <w:sz w:val="16"/>
          <w:szCs w:val="16"/>
        </w:rPr>
        <w:t>Source: Kad-DSA</w:t>
      </w:r>
      <w:r w:rsidR="001300B3">
        <w:rPr>
          <w:i/>
          <w:iCs/>
          <w:sz w:val="16"/>
          <w:szCs w:val="16"/>
        </w:rPr>
        <w:t>, 2022</w:t>
      </w:r>
    </w:p>
    <w:p w14:paraId="0E31BF37" w14:textId="2DF99086" w:rsidR="00B76AD5" w:rsidRPr="00B76AD5" w:rsidRDefault="00B76AD5" w:rsidP="00B76AD5">
      <w:pPr>
        <w:pStyle w:val="Caption"/>
      </w:pPr>
      <w:bookmarkStart w:id="119" w:name="_Toc143179918"/>
      <w:bookmarkEnd w:id="117"/>
      <w:r>
        <w:t xml:space="preserve">Figure </w:t>
      </w:r>
      <w:r>
        <w:fldChar w:fldCharType="begin"/>
      </w:r>
      <w:r>
        <w:instrText xml:space="preserve"> SEQ Figure \* ARABIC </w:instrText>
      </w:r>
      <w:r>
        <w:fldChar w:fldCharType="separate"/>
      </w:r>
      <w:r w:rsidR="00727B66">
        <w:rPr>
          <w:noProof/>
        </w:rPr>
        <w:t>14</w:t>
      </w:r>
      <w:r>
        <w:fldChar w:fldCharType="end"/>
      </w:r>
      <w:r>
        <w:t xml:space="preserve">: </w:t>
      </w:r>
      <w:r w:rsidRPr="006D1175">
        <w:t xml:space="preserve">Kaduna State </w:t>
      </w:r>
      <w:r>
        <w:t>Domestic and External Debts</w:t>
      </w:r>
      <w:bookmarkEnd w:id="119"/>
    </w:p>
    <w:bookmarkEnd w:id="118"/>
    <w:p w14:paraId="386FF0F9" w14:textId="2D98BECE" w:rsidR="00AF0A9D" w:rsidRDefault="00AF0A9D" w:rsidP="0004484E">
      <w:pPr>
        <w:pStyle w:val="NumberedPara"/>
        <w:numPr>
          <w:ilvl w:val="0"/>
          <w:numId w:val="0"/>
        </w:numPr>
        <w:ind w:left="426"/>
      </w:pPr>
      <w:r w:rsidRPr="00AF0A9D">
        <w:rPr>
          <w:noProof/>
          <w:lang w:val="en-US" w:eastAsia="en-US"/>
        </w:rPr>
        <w:drawing>
          <wp:inline distT="0" distB="0" distL="0" distR="0" wp14:anchorId="602B46A0" wp14:editId="3CF6F59E">
            <wp:extent cx="5502010" cy="2743200"/>
            <wp:effectExtent l="0" t="0" r="3810" b="0"/>
            <wp:docPr id="1768817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t="11586"/>
                    <a:stretch/>
                  </pic:blipFill>
                  <pic:spPr bwMode="auto">
                    <a:xfrm>
                      <a:off x="0" y="0"/>
                      <a:ext cx="5505327" cy="2744854"/>
                    </a:xfrm>
                    <a:prstGeom prst="rect">
                      <a:avLst/>
                    </a:prstGeom>
                    <a:noFill/>
                    <a:ln>
                      <a:noFill/>
                    </a:ln>
                    <a:extLst>
                      <a:ext uri="{53640926-AAD7-44D8-BBD7-CCE9431645EC}">
                        <a14:shadowObscured xmlns:a14="http://schemas.microsoft.com/office/drawing/2010/main"/>
                      </a:ext>
                    </a:extLst>
                  </pic:spPr>
                </pic:pic>
              </a:graphicData>
            </a:graphic>
          </wp:inline>
        </w:drawing>
      </w:r>
    </w:p>
    <w:p w14:paraId="70EF7E2D" w14:textId="296062A1" w:rsidR="00B76AD5" w:rsidRDefault="00B76AD5" w:rsidP="00B76AD5">
      <w:pPr>
        <w:pStyle w:val="NumberedPara"/>
        <w:numPr>
          <w:ilvl w:val="0"/>
          <w:numId w:val="0"/>
        </w:numPr>
        <w:ind w:left="426" w:hanging="426"/>
        <w:rPr>
          <w:i/>
          <w:iCs/>
          <w:sz w:val="16"/>
          <w:szCs w:val="16"/>
        </w:rPr>
      </w:pPr>
      <w:bookmarkStart w:id="120" w:name="_Hlk139448192"/>
      <w:r w:rsidRPr="00B76AD5">
        <w:rPr>
          <w:i/>
          <w:iCs/>
          <w:sz w:val="16"/>
          <w:szCs w:val="16"/>
        </w:rPr>
        <w:t>Source: Kad-DSA</w:t>
      </w:r>
      <w:r w:rsidR="001300B3">
        <w:rPr>
          <w:i/>
          <w:iCs/>
          <w:sz w:val="16"/>
          <w:szCs w:val="16"/>
        </w:rPr>
        <w:t>, 2022</w:t>
      </w:r>
    </w:p>
    <w:bookmarkEnd w:id="120"/>
    <w:p w14:paraId="35C6AACD" w14:textId="411609FB" w:rsidR="00AF0A9D" w:rsidRPr="00830CF2" w:rsidRDefault="00AF0A9D" w:rsidP="00E85323">
      <w:pPr>
        <w:pStyle w:val="NumberedPara"/>
        <w:tabs>
          <w:tab w:val="clear" w:pos="2127"/>
        </w:tabs>
        <w:ind w:left="567"/>
      </w:pPr>
      <w:r w:rsidRPr="00AF0A9D">
        <w:t>Kaduna state government spent about 13.50 billion Nigeria Naira in debt service in 2022 out of total revenue of N255.17 billion or 5% debt service to revenue ratio. The rising cost of Kaduna’s debt profile breached a new milestone with the state's debt service as 25.25 billion in 2019 from 9.84 in 2017. Though debt service took only 5% of the state’s revenue in 2022</w:t>
      </w:r>
      <w:r w:rsidR="004F3525">
        <w:t>.</w:t>
      </w:r>
      <w:r w:rsidRPr="00AF0A9D">
        <w:t xml:space="preserve"> however, its implication</w:t>
      </w:r>
      <w:r w:rsidR="004F3525">
        <w:t>, in the long run,</w:t>
      </w:r>
      <w:r w:rsidRPr="00AF0A9D">
        <w:t xml:space="preserve"> crowding out fiscal projects for development in the state.</w:t>
      </w:r>
      <w:r w:rsidR="00E85323">
        <w:br w:type="page"/>
      </w:r>
    </w:p>
    <w:p w14:paraId="0D64628A" w14:textId="4605E689" w:rsidR="00C96874" w:rsidRDefault="00C96874" w:rsidP="00B76AD5">
      <w:pPr>
        <w:pStyle w:val="Heading2"/>
      </w:pPr>
      <w:bookmarkStart w:id="121" w:name="_Toc340045252"/>
      <w:bookmarkStart w:id="122" w:name="_Toc340053641"/>
      <w:bookmarkStart w:id="123" w:name="_Toc14448426"/>
      <w:bookmarkStart w:id="124" w:name="_Toc106568629"/>
      <w:bookmarkStart w:id="125" w:name="_Toc143179794"/>
      <w:bookmarkStart w:id="126" w:name="_Hlk107404637"/>
      <w:r>
        <w:lastRenderedPageBreak/>
        <w:t>Fiscal Update</w:t>
      </w:r>
      <w:bookmarkEnd w:id="121"/>
      <w:bookmarkEnd w:id="122"/>
      <w:bookmarkEnd w:id="123"/>
      <w:bookmarkEnd w:id="124"/>
      <w:bookmarkEnd w:id="125"/>
    </w:p>
    <w:p w14:paraId="5F250EDD" w14:textId="77777777" w:rsidR="00C96874" w:rsidRPr="00A735A4" w:rsidRDefault="00C96874" w:rsidP="00B76AD5">
      <w:pPr>
        <w:pStyle w:val="Heading3"/>
      </w:pPr>
      <w:bookmarkStart w:id="127" w:name="_Toc143179795"/>
      <w:r>
        <w:t>Revenue Side</w:t>
      </w:r>
      <w:bookmarkEnd w:id="127"/>
    </w:p>
    <w:p w14:paraId="2BB8201C" w14:textId="32ED6BE9" w:rsidR="00C96874" w:rsidRDefault="00C96874" w:rsidP="00B76AD5">
      <w:pPr>
        <w:pStyle w:val="NumberedPara"/>
        <w:tabs>
          <w:tab w:val="clear" w:pos="2127"/>
          <w:tab w:val="num" w:pos="1560"/>
        </w:tabs>
        <w:ind w:left="567"/>
      </w:pPr>
      <w:r>
        <w:t>On the Revenue side, the document looks at Statutory Allocation, VAT, IGR, Excess Crude, and Capital Receipts – original budget versus actual for the period 201</w:t>
      </w:r>
      <w:r w:rsidR="00DC6E3D">
        <w:t>7</w:t>
      </w:r>
      <w:r>
        <w:t>-20</w:t>
      </w:r>
      <w:r w:rsidR="00281967">
        <w:t>2</w:t>
      </w:r>
      <w:r w:rsidR="00DC6E3D">
        <w:t>3</w:t>
      </w:r>
      <w:r>
        <w:t xml:space="preserve"> (</w:t>
      </w:r>
      <w:r w:rsidR="00870485">
        <w:t>S</w:t>
      </w:r>
      <w:r>
        <w:t xml:space="preserve">ix </w:t>
      </w:r>
      <w:r w:rsidR="001A2FE4">
        <w:t xml:space="preserve">years </w:t>
      </w:r>
      <w:r>
        <w:t xml:space="preserve">historic) and </w:t>
      </w:r>
      <w:r w:rsidRPr="00EF0A46">
        <w:t>20</w:t>
      </w:r>
      <w:r w:rsidR="00281967">
        <w:t>2</w:t>
      </w:r>
      <w:r w:rsidR="00A37884">
        <w:t>2</w:t>
      </w:r>
      <w:r>
        <w:t xml:space="preserve"> budge</w:t>
      </w:r>
      <w:r w:rsidR="00281967">
        <w:t>t</w:t>
      </w:r>
      <w:r w:rsidR="00F71898">
        <w:t>.</w:t>
      </w:r>
    </w:p>
    <w:p w14:paraId="51B49442" w14:textId="1AB070E1" w:rsidR="00C96874" w:rsidRDefault="00C96874" w:rsidP="00C96874">
      <w:pPr>
        <w:pStyle w:val="StyleCaptionCentered"/>
      </w:pPr>
      <w:bookmarkStart w:id="128" w:name="_Ref107771832"/>
      <w:bookmarkStart w:id="129" w:name="_Toc107777897"/>
      <w:bookmarkStart w:id="130" w:name="_Toc143179919"/>
      <w:r>
        <w:t xml:space="preserve">Figure </w:t>
      </w:r>
      <w:r>
        <w:fldChar w:fldCharType="begin"/>
      </w:r>
      <w:r>
        <w:instrText xml:space="preserve"> SEQ Figure \* ARABIC </w:instrText>
      </w:r>
      <w:r>
        <w:fldChar w:fldCharType="separate"/>
      </w:r>
      <w:r w:rsidR="00727B66">
        <w:rPr>
          <w:noProof/>
        </w:rPr>
        <w:t>15</w:t>
      </w:r>
      <w:r>
        <w:rPr>
          <w:noProof/>
        </w:rPr>
        <w:fldChar w:fldCharType="end"/>
      </w:r>
      <w:bookmarkEnd w:id="128"/>
      <w:r>
        <w:t xml:space="preserve">: </w:t>
      </w:r>
      <w:bookmarkEnd w:id="129"/>
      <w:r w:rsidR="0041427E">
        <w:t xml:space="preserve">Statutory Allocation </w:t>
      </w:r>
      <w:r w:rsidR="00DC6E3D">
        <w:t>Budget vs Actuals 2017 - 2023</w:t>
      </w:r>
      <w:bookmarkEnd w:id="130"/>
    </w:p>
    <w:p w14:paraId="17A889C3" w14:textId="5BEEB24E" w:rsidR="00C96874" w:rsidRDefault="00DA2F16" w:rsidP="00C96874">
      <w:pPr>
        <w:jc w:val="center"/>
      </w:pPr>
      <w:r w:rsidRPr="00DA2F16">
        <w:rPr>
          <w:noProof/>
          <w:lang w:val="en-US" w:eastAsia="en-US"/>
        </w:rPr>
        <w:drawing>
          <wp:inline distT="0" distB="0" distL="0" distR="0" wp14:anchorId="06B3E5C7" wp14:editId="20255E4B">
            <wp:extent cx="5741917" cy="3092727"/>
            <wp:effectExtent l="0" t="0" r="0" b="0"/>
            <wp:docPr id="15104988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265"/>
                    <a:stretch/>
                  </pic:blipFill>
                  <pic:spPr bwMode="auto">
                    <a:xfrm>
                      <a:off x="0" y="0"/>
                      <a:ext cx="5762269" cy="3103689"/>
                    </a:xfrm>
                    <a:prstGeom prst="rect">
                      <a:avLst/>
                    </a:prstGeom>
                    <a:noFill/>
                    <a:ln>
                      <a:noFill/>
                    </a:ln>
                    <a:extLst>
                      <a:ext uri="{53640926-AAD7-44D8-BBD7-CCE9431645EC}">
                        <a14:shadowObscured xmlns:a14="http://schemas.microsoft.com/office/drawing/2010/main"/>
                      </a:ext>
                    </a:extLst>
                  </pic:spPr>
                </pic:pic>
              </a:graphicData>
            </a:graphic>
          </wp:inline>
        </w:drawing>
      </w:r>
    </w:p>
    <w:p w14:paraId="5E1B0662" w14:textId="027F5359" w:rsidR="0082365B" w:rsidRPr="0082365B" w:rsidRDefault="0082365B" w:rsidP="0082365B">
      <w:pPr>
        <w:pStyle w:val="NumberedPara"/>
        <w:numPr>
          <w:ilvl w:val="0"/>
          <w:numId w:val="0"/>
        </w:numPr>
        <w:ind w:left="426" w:hanging="426"/>
        <w:rPr>
          <w:i/>
          <w:iCs/>
          <w:sz w:val="16"/>
          <w:szCs w:val="16"/>
        </w:rPr>
      </w:pPr>
      <w:r w:rsidRPr="00B76AD5">
        <w:rPr>
          <w:i/>
          <w:iCs/>
          <w:sz w:val="16"/>
          <w:szCs w:val="16"/>
        </w:rPr>
        <w:t xml:space="preserve">Source: </w:t>
      </w:r>
      <w:r>
        <w:rPr>
          <w:i/>
          <w:iCs/>
          <w:sz w:val="16"/>
          <w:szCs w:val="16"/>
        </w:rPr>
        <w:t xml:space="preserve">Kad </w:t>
      </w:r>
      <w:r w:rsidR="001300B3">
        <w:rPr>
          <w:i/>
          <w:iCs/>
          <w:sz w:val="16"/>
          <w:szCs w:val="16"/>
        </w:rPr>
        <w:t>Financial Statement</w:t>
      </w:r>
    </w:p>
    <w:p w14:paraId="6A109F61" w14:textId="6AE0F7E6" w:rsidR="00C96874" w:rsidRPr="00255DA6" w:rsidRDefault="006E68ED" w:rsidP="00B76AD5">
      <w:pPr>
        <w:pStyle w:val="NumberedPara"/>
        <w:tabs>
          <w:tab w:val="clear" w:pos="2127"/>
          <w:tab w:val="num" w:pos="2410"/>
        </w:tabs>
        <w:ind w:left="567"/>
      </w:pPr>
      <w:r w:rsidRPr="00255DA6">
        <w:t>Statutory Allocation constitutes all Federal Transfers excluding Value Added Tax (VAT) and other Federal Accounts Transfers</w:t>
      </w:r>
      <w:r w:rsidR="0041427E" w:rsidRPr="00255DA6">
        <w:t xml:space="preserve"> (albeit KDSG generally includes Other FAAC as part of Statutory Allocation reporting)</w:t>
      </w:r>
      <w:r w:rsidRPr="00255DA6">
        <w:t xml:space="preserve">. Statutory Allocation are mainly Crude Oil, Gas proceeds, Company Income Tax (CIT), and Custom and Excise Duty (C&amp;E). </w:t>
      </w:r>
      <w:r w:rsidR="0041427E" w:rsidRPr="00255DA6">
        <w:fldChar w:fldCharType="begin"/>
      </w:r>
      <w:r w:rsidR="0041427E" w:rsidRPr="00255DA6">
        <w:instrText xml:space="preserve"> REF _Ref107771832 \h </w:instrText>
      </w:r>
      <w:r w:rsidR="001300B3" w:rsidRPr="00255DA6">
        <w:instrText xml:space="preserve"> \* MERGEFORMAT </w:instrText>
      </w:r>
      <w:r w:rsidR="0041427E" w:rsidRPr="00255DA6">
        <w:fldChar w:fldCharType="separate"/>
      </w:r>
      <w:r w:rsidR="00B76AD5" w:rsidRPr="00255DA6">
        <w:t xml:space="preserve">Figure </w:t>
      </w:r>
      <w:r w:rsidR="00B76AD5" w:rsidRPr="00255DA6">
        <w:rPr>
          <w:noProof/>
        </w:rPr>
        <w:t>11</w:t>
      </w:r>
      <w:r w:rsidR="0041427E" w:rsidRPr="00255DA6">
        <w:fldChar w:fldCharType="end"/>
      </w:r>
      <w:r w:rsidR="0041427E" w:rsidRPr="00255DA6">
        <w:t xml:space="preserve"> </w:t>
      </w:r>
      <w:r w:rsidRPr="00255DA6">
        <w:t>shows there has been a steady rise in Statutory Allocation from 201</w:t>
      </w:r>
      <w:r w:rsidR="003807F4" w:rsidRPr="00255DA6">
        <w:t>7</w:t>
      </w:r>
      <w:r w:rsidRPr="00255DA6">
        <w:t xml:space="preserve"> – 2018, this </w:t>
      </w:r>
      <w:r w:rsidR="00866D45" w:rsidRPr="00255DA6">
        <w:t>was</w:t>
      </w:r>
      <w:r w:rsidRPr="00255DA6">
        <w:t xml:space="preserve"> </w:t>
      </w:r>
      <w:r w:rsidR="001479CC" w:rsidRPr="00255DA6">
        <w:t>because of</w:t>
      </w:r>
      <w:r w:rsidRPr="00255DA6">
        <w:t xml:space="preserve"> global economic growth. In 2019</w:t>
      </w:r>
      <w:r w:rsidR="00513492" w:rsidRPr="00255DA6">
        <w:t xml:space="preserve"> and </w:t>
      </w:r>
      <w:r w:rsidRPr="00255DA6">
        <w:t>2020 there</w:t>
      </w:r>
      <w:r w:rsidR="00866D45" w:rsidRPr="00255DA6">
        <w:t xml:space="preserve"> was</w:t>
      </w:r>
      <w:r w:rsidRPr="00255DA6">
        <w:t xml:space="preserve"> a slight fall because </w:t>
      </w:r>
      <w:r w:rsidR="00513492" w:rsidRPr="00255DA6">
        <w:t xml:space="preserve">of </w:t>
      </w:r>
      <w:r w:rsidRPr="00255DA6">
        <w:t>election</w:t>
      </w:r>
      <w:r w:rsidR="00513492" w:rsidRPr="00255DA6">
        <w:t>s</w:t>
      </w:r>
      <w:r w:rsidRPr="00255DA6">
        <w:t xml:space="preserve"> and the emergence of COVID-19 </w:t>
      </w:r>
      <w:r w:rsidR="00513492" w:rsidRPr="00255DA6">
        <w:t>which led to</w:t>
      </w:r>
      <w:r w:rsidRPr="00255DA6">
        <w:t xml:space="preserve"> lockdown</w:t>
      </w:r>
      <w:r w:rsidR="0066098B">
        <w:t>s</w:t>
      </w:r>
      <w:r w:rsidRPr="00255DA6">
        <w:t xml:space="preserve"> </w:t>
      </w:r>
      <w:r w:rsidR="00513492" w:rsidRPr="00255DA6">
        <w:t>that</w:t>
      </w:r>
      <w:r w:rsidRPr="00255DA6">
        <w:t xml:space="preserve"> disrupted economic activities. In 202</w:t>
      </w:r>
      <w:r w:rsidR="00513492" w:rsidRPr="00255DA6">
        <w:t>1</w:t>
      </w:r>
      <w:r w:rsidRPr="00255DA6">
        <w:t xml:space="preserve"> </w:t>
      </w:r>
      <w:r w:rsidR="00513492" w:rsidRPr="00255DA6">
        <w:t xml:space="preserve">the allocation increased </w:t>
      </w:r>
      <w:r w:rsidR="001479CC">
        <w:t>because of</w:t>
      </w:r>
      <w:r w:rsidR="00513492" w:rsidRPr="00255DA6">
        <w:t xml:space="preserve"> </w:t>
      </w:r>
      <w:r w:rsidR="0066098B">
        <w:t xml:space="preserve">improved </w:t>
      </w:r>
      <w:r w:rsidRPr="00255DA6">
        <w:t>economic activities</w:t>
      </w:r>
      <w:r w:rsidR="00287A8B" w:rsidRPr="00255DA6">
        <w:t xml:space="preserve"> </w:t>
      </w:r>
      <w:r w:rsidRPr="00255DA6">
        <w:t>after the lockdown</w:t>
      </w:r>
      <w:r w:rsidR="0066098B">
        <w:t>s</w:t>
      </w:r>
      <w:r w:rsidR="00287A8B" w:rsidRPr="00255DA6">
        <w:t>, this</w:t>
      </w:r>
      <w:r w:rsidR="00837B10">
        <w:t xml:space="preserve"> continued in</w:t>
      </w:r>
      <w:r w:rsidR="00513492" w:rsidRPr="00255DA6">
        <w:t xml:space="preserve"> 2022</w:t>
      </w:r>
      <w:r w:rsidRPr="00255DA6">
        <w:t>.</w:t>
      </w:r>
      <w:r w:rsidR="0066098B">
        <w:t xml:space="preserve"> The Ukraine and Russia War impacted on crude oil prices, sending prices to more $120/barrel. </w:t>
      </w:r>
    </w:p>
    <w:p w14:paraId="33BC9BE3" w14:textId="2E961794" w:rsidR="006E68ED" w:rsidRPr="00810E6A" w:rsidRDefault="006E68ED" w:rsidP="00B76AD5">
      <w:pPr>
        <w:pStyle w:val="NumberedPara"/>
        <w:tabs>
          <w:tab w:val="clear" w:pos="2127"/>
          <w:tab w:val="num" w:pos="2410"/>
        </w:tabs>
        <w:ind w:left="567"/>
        <w:rPr>
          <w:color w:val="000000" w:themeColor="text1"/>
        </w:rPr>
      </w:pPr>
      <w:r w:rsidRPr="00577C40">
        <w:rPr>
          <w:color w:val="000000" w:themeColor="text1"/>
        </w:rPr>
        <w:t>We expect year 202</w:t>
      </w:r>
      <w:r w:rsidR="00287A8B" w:rsidRPr="00577C40">
        <w:rPr>
          <w:color w:val="000000" w:themeColor="text1"/>
        </w:rPr>
        <w:t>4</w:t>
      </w:r>
      <w:r w:rsidRPr="00577C40">
        <w:rPr>
          <w:color w:val="000000" w:themeColor="text1"/>
        </w:rPr>
        <w:t xml:space="preserve"> – 202</w:t>
      </w:r>
      <w:r w:rsidR="00287A8B" w:rsidRPr="00577C40">
        <w:rPr>
          <w:color w:val="000000" w:themeColor="text1"/>
        </w:rPr>
        <w:t>6</w:t>
      </w:r>
      <w:r w:rsidRPr="00577C40">
        <w:rPr>
          <w:color w:val="000000" w:themeColor="text1"/>
        </w:rPr>
        <w:t xml:space="preserve"> to be better in terms of Statutory Allocation due to </w:t>
      </w:r>
      <w:r w:rsidR="00287A8B" w:rsidRPr="00577C40">
        <w:rPr>
          <w:color w:val="000000" w:themeColor="text1"/>
        </w:rPr>
        <w:t xml:space="preserve">the removal fuel subsidy, </w:t>
      </w:r>
      <w:r w:rsidR="0066098B" w:rsidRPr="00577C40">
        <w:rPr>
          <w:color w:val="000000" w:themeColor="text1"/>
        </w:rPr>
        <w:t xml:space="preserve">devaluation of the Naira, </w:t>
      </w:r>
      <w:r w:rsidR="00287A8B" w:rsidRPr="00577C40">
        <w:rPr>
          <w:color w:val="000000" w:themeColor="text1"/>
        </w:rPr>
        <w:t>commencement of operations of</w:t>
      </w:r>
      <w:r w:rsidRPr="00577C40">
        <w:rPr>
          <w:color w:val="000000" w:themeColor="text1"/>
        </w:rPr>
        <w:t xml:space="preserve"> Dangote refinery</w:t>
      </w:r>
      <w:r w:rsidR="00FB02D6" w:rsidRPr="00577C40">
        <w:rPr>
          <w:color w:val="000000" w:themeColor="text1"/>
        </w:rPr>
        <w:t xml:space="preserve"> </w:t>
      </w:r>
      <w:r w:rsidR="00287A8B" w:rsidRPr="00577C40">
        <w:rPr>
          <w:color w:val="000000" w:themeColor="text1"/>
        </w:rPr>
        <w:t xml:space="preserve">and the rehabilitation </w:t>
      </w:r>
      <w:r w:rsidR="00837B10" w:rsidRPr="00577C40">
        <w:rPr>
          <w:color w:val="000000" w:themeColor="text1"/>
        </w:rPr>
        <w:t xml:space="preserve">of </w:t>
      </w:r>
      <w:r w:rsidR="00287A8B" w:rsidRPr="00577C40">
        <w:rPr>
          <w:color w:val="000000" w:themeColor="text1"/>
        </w:rPr>
        <w:t>one of the country’s refineries before the end of 2023</w:t>
      </w:r>
      <w:r w:rsidR="00477479" w:rsidRPr="00577C40">
        <w:rPr>
          <w:color w:val="000000" w:themeColor="text1"/>
        </w:rPr>
        <w:t xml:space="preserve"> will </w:t>
      </w:r>
      <w:r w:rsidR="00EC5FC8" w:rsidRPr="00577C40">
        <w:rPr>
          <w:color w:val="000000" w:themeColor="text1"/>
        </w:rPr>
        <w:t>reduce</w:t>
      </w:r>
      <w:r w:rsidR="00477479" w:rsidRPr="00577C40">
        <w:rPr>
          <w:color w:val="000000" w:themeColor="text1"/>
        </w:rPr>
        <w:t xml:space="preserve"> the cost of importing PMS will be eliminated which will have a huge positive impact on FAAC </w:t>
      </w:r>
      <w:commentRangeStart w:id="131"/>
      <w:commentRangeEnd w:id="131"/>
      <w:r w:rsidR="00477479" w:rsidRPr="00810E6A">
        <w:rPr>
          <w:rStyle w:val="CommentReference"/>
          <w:color w:val="000000" w:themeColor="text1"/>
        </w:rPr>
        <w:commentReference w:id="131"/>
      </w:r>
      <w:r w:rsidR="00287A8B" w:rsidRPr="00810E6A">
        <w:rPr>
          <w:color w:val="000000" w:themeColor="text1"/>
        </w:rPr>
        <w:t>.</w:t>
      </w:r>
    </w:p>
    <w:p w14:paraId="1ABF422E" w14:textId="76EFE51B" w:rsidR="00C96874" w:rsidRDefault="00C96874" w:rsidP="00C96874">
      <w:pPr>
        <w:pStyle w:val="StyleCaptionCentered"/>
      </w:pPr>
      <w:bookmarkStart w:id="132" w:name="_Toc107777898"/>
      <w:bookmarkStart w:id="133" w:name="_Toc143179920"/>
      <w:r>
        <w:lastRenderedPageBreak/>
        <w:t xml:space="preserve">Figure </w:t>
      </w:r>
      <w:r>
        <w:fldChar w:fldCharType="begin"/>
      </w:r>
      <w:r>
        <w:instrText xml:space="preserve"> SEQ Figure \* ARABIC </w:instrText>
      </w:r>
      <w:r>
        <w:fldChar w:fldCharType="separate"/>
      </w:r>
      <w:r w:rsidR="00727B66">
        <w:rPr>
          <w:noProof/>
        </w:rPr>
        <w:t>16</w:t>
      </w:r>
      <w:r>
        <w:rPr>
          <w:noProof/>
        </w:rPr>
        <w:fldChar w:fldCharType="end"/>
      </w:r>
      <w:r>
        <w:t>: VAT</w:t>
      </w:r>
      <w:bookmarkEnd w:id="132"/>
      <w:r w:rsidR="00146776">
        <w:t xml:space="preserve"> Budget vs Actuals 2017 - 2023</w:t>
      </w:r>
      <w:bookmarkEnd w:id="133"/>
      <w:r w:rsidR="00146776">
        <w:t xml:space="preserve"> </w:t>
      </w:r>
    </w:p>
    <w:p w14:paraId="365A8E71" w14:textId="6A665ECD" w:rsidR="00C96874" w:rsidRDefault="00DA2F16" w:rsidP="00C96874">
      <w:pPr>
        <w:jc w:val="center"/>
      </w:pPr>
      <w:r w:rsidRPr="00DA2F16">
        <w:rPr>
          <w:noProof/>
          <w:lang w:val="en-US" w:eastAsia="en-US"/>
        </w:rPr>
        <w:drawing>
          <wp:inline distT="0" distB="0" distL="0" distR="0" wp14:anchorId="4CF353C0" wp14:editId="042D4185">
            <wp:extent cx="5503081" cy="2703443"/>
            <wp:effectExtent l="0" t="0" r="2540" b="1905"/>
            <wp:docPr id="419773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033"/>
                    <a:stretch/>
                  </pic:blipFill>
                  <pic:spPr bwMode="auto">
                    <a:xfrm>
                      <a:off x="0" y="0"/>
                      <a:ext cx="5511935" cy="2707792"/>
                    </a:xfrm>
                    <a:prstGeom prst="rect">
                      <a:avLst/>
                    </a:prstGeom>
                    <a:noFill/>
                    <a:ln>
                      <a:noFill/>
                    </a:ln>
                    <a:extLst>
                      <a:ext uri="{53640926-AAD7-44D8-BBD7-CCE9431645EC}">
                        <a14:shadowObscured xmlns:a14="http://schemas.microsoft.com/office/drawing/2010/main"/>
                      </a:ext>
                    </a:extLst>
                  </pic:spPr>
                </pic:pic>
              </a:graphicData>
            </a:graphic>
          </wp:inline>
        </w:drawing>
      </w:r>
    </w:p>
    <w:p w14:paraId="3103DF4F" w14:textId="3EBA5B6A" w:rsidR="0082365B" w:rsidRPr="0082365B" w:rsidRDefault="0082365B" w:rsidP="0082365B">
      <w:pPr>
        <w:pStyle w:val="NumberedPara"/>
        <w:numPr>
          <w:ilvl w:val="0"/>
          <w:numId w:val="0"/>
        </w:numPr>
        <w:ind w:left="426" w:hanging="426"/>
        <w:rPr>
          <w:i/>
          <w:iCs/>
          <w:sz w:val="16"/>
          <w:szCs w:val="16"/>
        </w:rPr>
      </w:pPr>
      <w:r w:rsidRPr="00B76AD5">
        <w:rPr>
          <w:i/>
          <w:iCs/>
          <w:sz w:val="16"/>
          <w:szCs w:val="16"/>
        </w:rPr>
        <w:t xml:space="preserve">Source: </w:t>
      </w:r>
      <w:r>
        <w:rPr>
          <w:i/>
          <w:iCs/>
          <w:sz w:val="16"/>
          <w:szCs w:val="16"/>
        </w:rPr>
        <w:t xml:space="preserve">Kad </w:t>
      </w:r>
      <w:r w:rsidR="001300B3">
        <w:rPr>
          <w:i/>
          <w:iCs/>
          <w:sz w:val="16"/>
          <w:szCs w:val="16"/>
        </w:rPr>
        <w:t>Financial Statements 2017-2022</w:t>
      </w:r>
    </w:p>
    <w:p w14:paraId="60E9F7A6" w14:textId="06F05A4B" w:rsidR="00C012DA" w:rsidRPr="000B0CE7" w:rsidRDefault="00C012DA" w:rsidP="0082365B">
      <w:pPr>
        <w:pStyle w:val="NumberedPara"/>
        <w:tabs>
          <w:tab w:val="clear" w:pos="2127"/>
        </w:tabs>
        <w:ind w:left="567"/>
      </w:pPr>
      <w:r w:rsidRPr="000B0CE7">
        <w:t xml:space="preserve">From 2017 when the Country exited recession, VAT continued to surge passing budget targets. This trend is expected to continue as the Finance </w:t>
      </w:r>
      <w:r w:rsidR="00493A7F">
        <w:t>Act</w:t>
      </w:r>
      <w:r w:rsidRPr="000B0CE7">
        <w:t xml:space="preserve"> 2019 has raised VAT from 5% to 7.5%, the </w:t>
      </w:r>
      <w:r w:rsidR="00493A7F">
        <w:t>Act</w:t>
      </w:r>
      <w:r w:rsidRPr="000B0CE7">
        <w:t xml:space="preserve"> seeks to improve revenue by various fiscal measures, and reforming domestic tax laws to align with global best practice</w:t>
      </w:r>
      <w:r w:rsidR="001A2FE4">
        <w:t>s</w:t>
      </w:r>
      <w:r w:rsidRPr="000B0CE7">
        <w:t xml:space="preserve">. This means that the Governments will receive more revenue in VAT especially the States and Local Governments (50% and 35% respectively). </w:t>
      </w:r>
    </w:p>
    <w:p w14:paraId="515B2416" w14:textId="37ECA057" w:rsidR="00A85034" w:rsidRPr="000B0CE7" w:rsidRDefault="00C012DA" w:rsidP="0082365B">
      <w:pPr>
        <w:pStyle w:val="NumberedPara"/>
        <w:tabs>
          <w:tab w:val="clear" w:pos="2127"/>
        </w:tabs>
        <w:ind w:left="567"/>
      </w:pPr>
      <w:r w:rsidRPr="000B0CE7">
        <w:t>Recently, The Nigerian Senate had approved the funding of the Northeast Development Commission (NEDC) from the VAT realised in the Country. A total of 3% deductions from VAT will be d</w:t>
      </w:r>
      <w:r w:rsidR="00493A7F">
        <w:t>one</w:t>
      </w:r>
      <w:r w:rsidRPr="000B0CE7">
        <w:t xml:space="preserve"> monthly for a period of ten years. This will also affect the projected amount for VAT in Kaduna State from 2023 and beyond.</w:t>
      </w:r>
    </w:p>
    <w:p w14:paraId="40CFEC66" w14:textId="28119996" w:rsidR="00C96874" w:rsidRDefault="00C96874" w:rsidP="00C96874">
      <w:pPr>
        <w:pStyle w:val="StyleCaptionCentered"/>
      </w:pPr>
      <w:bookmarkStart w:id="134" w:name="_Toc107777899"/>
      <w:bookmarkStart w:id="135" w:name="_Toc143179921"/>
      <w:r>
        <w:t xml:space="preserve">Figure </w:t>
      </w:r>
      <w:r>
        <w:fldChar w:fldCharType="begin"/>
      </w:r>
      <w:r>
        <w:instrText xml:space="preserve"> SEQ Figure \* ARABIC </w:instrText>
      </w:r>
      <w:r>
        <w:fldChar w:fldCharType="separate"/>
      </w:r>
      <w:r w:rsidR="00727B66">
        <w:rPr>
          <w:noProof/>
        </w:rPr>
        <w:t>17</w:t>
      </w:r>
      <w:r>
        <w:rPr>
          <w:noProof/>
        </w:rPr>
        <w:fldChar w:fldCharType="end"/>
      </w:r>
      <w:r>
        <w:t>: IGR</w:t>
      </w:r>
      <w:bookmarkEnd w:id="134"/>
      <w:bookmarkEnd w:id="135"/>
      <w:r w:rsidR="00146776">
        <w:t xml:space="preserve"> </w:t>
      </w:r>
    </w:p>
    <w:p w14:paraId="03ACE771" w14:textId="1F624480" w:rsidR="00C96874" w:rsidRDefault="00DA2F16" w:rsidP="00C96874">
      <w:pPr>
        <w:pStyle w:val="StyleCaptionCentered"/>
      </w:pPr>
      <w:r w:rsidRPr="00DA2F16">
        <w:rPr>
          <w:noProof/>
          <w:lang w:val="en-US" w:eastAsia="en-US"/>
        </w:rPr>
        <w:drawing>
          <wp:inline distT="0" distB="0" distL="0" distR="0" wp14:anchorId="6E4254C0" wp14:editId="096D3DEC">
            <wp:extent cx="5504815" cy="2830858"/>
            <wp:effectExtent l="0" t="0" r="635" b="7620"/>
            <wp:docPr id="17604335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570"/>
                    <a:stretch/>
                  </pic:blipFill>
                  <pic:spPr bwMode="auto">
                    <a:xfrm>
                      <a:off x="0" y="0"/>
                      <a:ext cx="5504815" cy="2830858"/>
                    </a:xfrm>
                    <a:prstGeom prst="rect">
                      <a:avLst/>
                    </a:prstGeom>
                    <a:noFill/>
                    <a:ln>
                      <a:noFill/>
                    </a:ln>
                    <a:extLst>
                      <a:ext uri="{53640926-AAD7-44D8-BBD7-CCE9431645EC}">
                        <a14:shadowObscured xmlns:a14="http://schemas.microsoft.com/office/drawing/2010/main"/>
                      </a:ext>
                    </a:extLst>
                  </pic:spPr>
                </pic:pic>
              </a:graphicData>
            </a:graphic>
          </wp:inline>
        </w:drawing>
      </w:r>
    </w:p>
    <w:p w14:paraId="43BAE8A9" w14:textId="1F7CB7B5" w:rsidR="0082365B" w:rsidRPr="0082365B" w:rsidRDefault="0082365B" w:rsidP="0082365B">
      <w:pPr>
        <w:pStyle w:val="NumberedPara"/>
        <w:numPr>
          <w:ilvl w:val="0"/>
          <w:numId w:val="0"/>
        </w:numPr>
        <w:ind w:left="426" w:hanging="426"/>
        <w:rPr>
          <w:i/>
          <w:iCs/>
          <w:sz w:val="16"/>
          <w:szCs w:val="16"/>
        </w:rPr>
      </w:pPr>
      <w:r w:rsidRPr="00B76AD5">
        <w:rPr>
          <w:i/>
          <w:iCs/>
          <w:sz w:val="16"/>
          <w:szCs w:val="16"/>
        </w:rPr>
        <w:t xml:space="preserve">Source: </w:t>
      </w:r>
      <w:r w:rsidR="001300B3">
        <w:rPr>
          <w:i/>
          <w:iCs/>
          <w:sz w:val="16"/>
          <w:szCs w:val="16"/>
        </w:rPr>
        <w:t>Kad Financial Statements 2017-2022</w:t>
      </w:r>
    </w:p>
    <w:p w14:paraId="7B995F1E" w14:textId="7CA63A36" w:rsidR="00EC6AD3" w:rsidRPr="00255DA6" w:rsidRDefault="00C012DA" w:rsidP="00B92739">
      <w:pPr>
        <w:pStyle w:val="NumberedPara"/>
        <w:tabs>
          <w:tab w:val="clear" w:pos="2127"/>
        </w:tabs>
        <w:ind w:left="567"/>
      </w:pPr>
      <w:r w:rsidRPr="00255DA6">
        <w:t xml:space="preserve">The Kaduna State Tax Codification and Consolidation Law has greatly enhanced collections and blocked leakages. Since its passage </w:t>
      </w:r>
      <w:r w:rsidR="00B92739">
        <w:t xml:space="preserve">into law in 2016 (amended </w:t>
      </w:r>
      <w:r w:rsidR="001A5E6C">
        <w:t xml:space="preserve">in </w:t>
      </w:r>
      <w:r w:rsidR="00B92739">
        <w:t xml:space="preserve">2020). </w:t>
      </w:r>
      <w:r w:rsidR="00B92739" w:rsidRPr="00255DA6">
        <w:t>According</w:t>
      </w:r>
      <w:r w:rsidR="00B92739">
        <w:t xml:space="preserve"> to the </w:t>
      </w:r>
      <w:r w:rsidR="00B92739" w:rsidRPr="00255DA6">
        <w:t>National Bureau of Statistics (NBS) 2022 full</w:t>
      </w:r>
      <w:r w:rsidR="00B92739">
        <w:t>-year report</w:t>
      </w:r>
      <w:r w:rsidR="00B92739" w:rsidRPr="00255DA6">
        <w:t xml:space="preserve">, </w:t>
      </w:r>
      <w:r w:rsidR="00B92739">
        <w:t>the state was</w:t>
      </w:r>
      <w:r w:rsidR="00B92739" w:rsidRPr="00255DA6">
        <w:t xml:space="preserve"> </w:t>
      </w:r>
      <w:r w:rsidR="00B92739">
        <w:t>ranked the</w:t>
      </w:r>
      <w:r w:rsidR="00B92739" w:rsidRPr="00255DA6">
        <w:t xml:space="preserve"> 6th highes</w:t>
      </w:r>
      <w:r w:rsidR="00B92739">
        <w:t xml:space="preserve">t in the country and 1st in </w:t>
      </w:r>
      <w:r w:rsidR="00B92739" w:rsidRPr="00255DA6">
        <w:t>the</w:t>
      </w:r>
      <w:r w:rsidR="00B92739">
        <w:t xml:space="preserve"> </w:t>
      </w:r>
      <w:r w:rsidR="00493A7F">
        <w:t>North and</w:t>
      </w:r>
      <w:r w:rsidRPr="00255DA6">
        <w:t xml:space="preserve"> has continued to witness a steep rise in its IGR from 2017 to 202</w:t>
      </w:r>
      <w:r w:rsidR="00255DA6" w:rsidRPr="00255DA6">
        <w:t>2</w:t>
      </w:r>
      <w:r w:rsidR="00B92739">
        <w:t>.</w:t>
      </w:r>
      <w:r w:rsidRPr="00255DA6">
        <w:t xml:space="preserve"> </w:t>
      </w:r>
    </w:p>
    <w:p w14:paraId="1A464658" w14:textId="19FE6B84" w:rsidR="00C96874" w:rsidRDefault="00C012DA" w:rsidP="00C96874">
      <w:pPr>
        <w:pStyle w:val="NumberedPara"/>
        <w:tabs>
          <w:tab w:val="clear" w:pos="2127"/>
        </w:tabs>
        <w:ind w:left="567"/>
      </w:pPr>
      <w:r w:rsidRPr="00255DA6">
        <w:lastRenderedPageBreak/>
        <w:t>The implementation of fiscal sustainability plans provided a steady increase in IGR collections in 2021</w:t>
      </w:r>
      <w:r w:rsidR="0082365B" w:rsidRPr="00255DA6">
        <w:t xml:space="preserve">, and </w:t>
      </w:r>
      <w:r w:rsidR="00F333D2">
        <w:t xml:space="preserve">the </w:t>
      </w:r>
      <w:r w:rsidR="00255DA6" w:rsidRPr="00255DA6">
        <w:t xml:space="preserve">strengthening of KADIRS which has </w:t>
      </w:r>
      <w:r w:rsidR="00F333D2">
        <w:t>remained</w:t>
      </w:r>
      <w:r w:rsidR="00255DA6" w:rsidRPr="00255DA6">
        <w:t xml:space="preserve"> pivotal to the needed upscale in the revenue generation agend</w:t>
      </w:r>
      <w:r w:rsidR="00F333D2">
        <w:t>a</w:t>
      </w:r>
      <w:r w:rsidR="00255DA6" w:rsidRPr="00255DA6">
        <w:t xml:space="preserve"> in the State</w:t>
      </w:r>
      <w:r w:rsidR="00F333D2">
        <w:t xml:space="preserve"> accounted for the increase in</w:t>
      </w:r>
      <w:r w:rsidR="00255DA6" w:rsidRPr="00255DA6">
        <w:t xml:space="preserve"> </w:t>
      </w:r>
      <w:r w:rsidR="0082365B" w:rsidRPr="00255DA6">
        <w:t>2022</w:t>
      </w:r>
      <w:r w:rsidRPr="00255DA6">
        <w:t xml:space="preserve">. </w:t>
      </w:r>
      <w:r w:rsidR="0082365B" w:rsidRPr="00255DA6">
        <w:t>Kaduna</w:t>
      </w:r>
      <w:r w:rsidR="00EC6AD3" w:rsidRPr="00255DA6">
        <w:t xml:space="preserve"> State generated more than ₦</w:t>
      </w:r>
      <w:r w:rsidR="00F333D2">
        <w:t>77</w:t>
      </w:r>
      <w:r w:rsidRPr="00255DA6">
        <w:t xml:space="preserve"> billion in 202</w:t>
      </w:r>
      <w:r w:rsidR="00F333D2">
        <w:t>2</w:t>
      </w:r>
      <w:r w:rsidRPr="00255DA6">
        <w:t>. This is more than its budget of N</w:t>
      </w:r>
      <w:r w:rsidR="00F333D2">
        <w:t>70</w:t>
      </w:r>
      <w:r w:rsidRPr="00255DA6">
        <w:t xml:space="preserve"> billion.</w:t>
      </w:r>
      <w:r w:rsidR="00F333D2">
        <w:t xml:space="preserve"> </w:t>
      </w:r>
    </w:p>
    <w:p w14:paraId="5D4E6437" w14:textId="34D9A100" w:rsidR="00F333D2" w:rsidRPr="00255DA6" w:rsidRDefault="00F333D2" w:rsidP="00C96874">
      <w:pPr>
        <w:pStyle w:val="NumberedPara"/>
        <w:tabs>
          <w:tab w:val="clear" w:pos="2127"/>
        </w:tabs>
        <w:ind w:left="567"/>
      </w:pPr>
      <w:r>
        <w:t xml:space="preserve">We expect the revenue to increase in 2023 and 2024 </w:t>
      </w:r>
      <w:r w:rsidR="001A2FE4">
        <w:t>because of</w:t>
      </w:r>
      <w:r>
        <w:t xml:space="preserve"> sustaining the already existing revenue </w:t>
      </w:r>
      <w:r w:rsidR="000B0CE7">
        <w:t>reforms, policies</w:t>
      </w:r>
      <w:r>
        <w:t>, and new initiatives</w:t>
      </w:r>
      <w:r w:rsidR="00525BAB">
        <w:t xml:space="preserve"> to improve revenue generation by</w:t>
      </w:r>
      <w:r>
        <w:t xml:space="preserve"> the </w:t>
      </w:r>
      <w:r w:rsidR="00525BAB">
        <w:t>new administration.</w:t>
      </w:r>
    </w:p>
    <w:p w14:paraId="2BCF7F66" w14:textId="090AB5A1" w:rsidR="00C96874" w:rsidRDefault="001300B3" w:rsidP="00C96874">
      <w:pPr>
        <w:pStyle w:val="StyleCaptionCentered"/>
      </w:pPr>
      <w:bookmarkStart w:id="136" w:name="_Toc107777901"/>
      <w:bookmarkStart w:id="137" w:name="_Toc143179922"/>
      <w:r>
        <w:t>F</w:t>
      </w:r>
      <w:r w:rsidR="00C96874">
        <w:t xml:space="preserve">igure </w:t>
      </w:r>
      <w:r w:rsidR="00C96874">
        <w:fldChar w:fldCharType="begin"/>
      </w:r>
      <w:r w:rsidR="00C96874">
        <w:instrText xml:space="preserve"> SEQ Figure \* ARABIC </w:instrText>
      </w:r>
      <w:r w:rsidR="00C96874">
        <w:fldChar w:fldCharType="separate"/>
      </w:r>
      <w:r w:rsidR="00727B66">
        <w:rPr>
          <w:noProof/>
        </w:rPr>
        <w:t>18</w:t>
      </w:r>
      <w:r w:rsidR="00C96874">
        <w:rPr>
          <w:noProof/>
        </w:rPr>
        <w:fldChar w:fldCharType="end"/>
      </w:r>
      <w:r w:rsidR="00C96874">
        <w:t>: Grants</w:t>
      </w:r>
      <w:bookmarkEnd w:id="136"/>
      <w:bookmarkEnd w:id="137"/>
      <w:r w:rsidR="00C96874">
        <w:t xml:space="preserve"> </w:t>
      </w:r>
    </w:p>
    <w:p w14:paraId="525730B0" w14:textId="3ED5FA25" w:rsidR="00C96874" w:rsidRDefault="00DA2F16" w:rsidP="00C96874">
      <w:pPr>
        <w:pStyle w:val="StyleCaptionCentered"/>
      </w:pPr>
      <w:r w:rsidRPr="00DA2F16">
        <w:rPr>
          <w:noProof/>
          <w:lang w:val="en-US" w:eastAsia="en-US"/>
        </w:rPr>
        <w:drawing>
          <wp:inline distT="0" distB="0" distL="0" distR="0" wp14:anchorId="3CA87BFB" wp14:editId="10AE9E7B">
            <wp:extent cx="5503457" cy="2584174"/>
            <wp:effectExtent l="0" t="0" r="2540" b="6985"/>
            <wp:docPr id="9979091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235"/>
                    <a:stretch/>
                  </pic:blipFill>
                  <pic:spPr bwMode="auto">
                    <a:xfrm>
                      <a:off x="0" y="0"/>
                      <a:ext cx="5511687" cy="2588039"/>
                    </a:xfrm>
                    <a:prstGeom prst="rect">
                      <a:avLst/>
                    </a:prstGeom>
                    <a:noFill/>
                    <a:ln>
                      <a:noFill/>
                    </a:ln>
                    <a:extLst>
                      <a:ext uri="{53640926-AAD7-44D8-BBD7-CCE9431645EC}">
                        <a14:shadowObscured xmlns:a14="http://schemas.microsoft.com/office/drawing/2010/main"/>
                      </a:ext>
                    </a:extLst>
                  </pic:spPr>
                </pic:pic>
              </a:graphicData>
            </a:graphic>
          </wp:inline>
        </w:drawing>
      </w:r>
    </w:p>
    <w:p w14:paraId="1C7380A1" w14:textId="37510419" w:rsidR="0082365B" w:rsidRPr="0082365B" w:rsidRDefault="0082365B" w:rsidP="0082365B">
      <w:pPr>
        <w:pStyle w:val="NumberedPara"/>
        <w:numPr>
          <w:ilvl w:val="0"/>
          <w:numId w:val="0"/>
        </w:numPr>
        <w:ind w:left="426" w:hanging="426"/>
        <w:rPr>
          <w:i/>
          <w:iCs/>
          <w:sz w:val="16"/>
          <w:szCs w:val="16"/>
        </w:rPr>
      </w:pPr>
      <w:r w:rsidRPr="00B76AD5">
        <w:rPr>
          <w:i/>
          <w:iCs/>
          <w:sz w:val="16"/>
          <w:szCs w:val="16"/>
        </w:rPr>
        <w:t xml:space="preserve">Source: </w:t>
      </w:r>
      <w:r w:rsidR="001300B3">
        <w:rPr>
          <w:i/>
          <w:iCs/>
          <w:sz w:val="16"/>
          <w:szCs w:val="16"/>
        </w:rPr>
        <w:t>Kad Financial Statements 2017-2022</w:t>
      </w:r>
    </w:p>
    <w:p w14:paraId="75F3B876" w14:textId="2AD13236" w:rsidR="0022431D" w:rsidRPr="00022BDA" w:rsidRDefault="001B5EB8" w:rsidP="0082365B">
      <w:pPr>
        <w:pStyle w:val="NumberedPara"/>
        <w:tabs>
          <w:tab w:val="clear" w:pos="2127"/>
          <w:tab w:val="num" w:pos="2552"/>
        </w:tabs>
        <w:ind w:left="567"/>
      </w:pPr>
      <w:r w:rsidRPr="00022BDA">
        <w:t xml:space="preserve">Grants </w:t>
      </w:r>
      <w:r w:rsidR="00BD2699" w:rsidRPr="00022BDA">
        <w:t>have</w:t>
      </w:r>
      <w:r w:rsidRPr="00022BDA">
        <w:t xml:space="preserve"> been a major challenge in providing realistic data that will enable the State to budget and forecast further. This is mainly attributed to funds coming in directly from donor partners to implementing agencies without the full knowledge of the Office of the Accountant General of the State.</w:t>
      </w:r>
    </w:p>
    <w:p w14:paraId="1D2580F6" w14:textId="19597772" w:rsidR="001B5EB8" w:rsidRPr="00022BDA" w:rsidRDefault="001B5EB8" w:rsidP="0082365B">
      <w:pPr>
        <w:pStyle w:val="NumberedPara"/>
        <w:tabs>
          <w:tab w:val="clear" w:pos="2127"/>
          <w:tab w:val="num" w:pos="2552"/>
        </w:tabs>
        <w:ind w:left="567"/>
      </w:pPr>
      <w:r w:rsidRPr="00022BDA">
        <w:t>Other reasons for poor performance include delays in the negotiations with Implementing Partners and non-timely payment of counterpart funds and other requirements from the State Government.</w:t>
      </w:r>
    </w:p>
    <w:p w14:paraId="42D110FE" w14:textId="204D8112" w:rsidR="001B5EB8" w:rsidRPr="00022BDA" w:rsidRDefault="001B5EB8" w:rsidP="0082365B">
      <w:pPr>
        <w:pStyle w:val="NumberedPara"/>
        <w:tabs>
          <w:tab w:val="clear" w:pos="2127"/>
          <w:tab w:val="num" w:pos="2552"/>
        </w:tabs>
        <w:ind w:left="567"/>
      </w:pPr>
      <w:r w:rsidRPr="00022BDA">
        <w:t>The launch of the Kaduna State International Development Coordination Framework (2017- 2020) has greatly contributed to addressing the challenges. This can be seen in the figure</w:t>
      </w:r>
      <w:r w:rsidR="000C66CB">
        <w:t xml:space="preserve"> 15</w:t>
      </w:r>
      <w:r w:rsidRPr="00022BDA">
        <w:t xml:space="preserve"> above where the State recorded an o</w:t>
      </w:r>
      <w:r w:rsidR="00C012DA" w:rsidRPr="00022BDA">
        <w:t>verperformance of Grants in 201</w:t>
      </w:r>
      <w:r w:rsidR="00022BDA" w:rsidRPr="00022BDA">
        <w:t>8</w:t>
      </w:r>
      <w:r w:rsidR="00C012DA" w:rsidRPr="00022BDA">
        <w:t xml:space="preserve"> and 20</w:t>
      </w:r>
      <w:r w:rsidR="00022BDA" w:rsidRPr="00022BDA">
        <w:t>19</w:t>
      </w:r>
      <w:r w:rsidR="00C012DA" w:rsidRPr="00022BDA">
        <w:t>.</w:t>
      </w:r>
      <w:r w:rsidR="00022BDA" w:rsidRPr="00022BDA">
        <w:t xml:space="preserve"> However, in 2020 – 2022 there was an increase in performance.</w:t>
      </w:r>
    </w:p>
    <w:p w14:paraId="52DED7D7" w14:textId="63FEE1D2" w:rsidR="00C96874" w:rsidRDefault="00C96874" w:rsidP="00C96874">
      <w:pPr>
        <w:pStyle w:val="Caption"/>
      </w:pPr>
      <w:bookmarkStart w:id="138" w:name="_Toc107777902"/>
      <w:bookmarkStart w:id="139" w:name="_Toc143179923"/>
      <w:r>
        <w:lastRenderedPageBreak/>
        <w:t xml:space="preserve">Figure </w:t>
      </w:r>
      <w:r>
        <w:fldChar w:fldCharType="begin"/>
      </w:r>
      <w:r>
        <w:instrText xml:space="preserve"> SEQ Figure \* ARABIC </w:instrText>
      </w:r>
      <w:r>
        <w:fldChar w:fldCharType="separate"/>
      </w:r>
      <w:r w:rsidR="00727B66">
        <w:rPr>
          <w:noProof/>
        </w:rPr>
        <w:t>19</w:t>
      </w:r>
      <w:r>
        <w:rPr>
          <w:noProof/>
        </w:rPr>
        <w:fldChar w:fldCharType="end"/>
      </w:r>
      <w:r>
        <w:t xml:space="preserve">: Other Capital </w:t>
      </w:r>
      <w:commentRangeStart w:id="140"/>
      <w:r>
        <w:t>Receipts</w:t>
      </w:r>
      <w:bookmarkEnd w:id="138"/>
      <w:commentRangeEnd w:id="140"/>
      <w:r w:rsidR="0041427E">
        <w:rPr>
          <w:rStyle w:val="CommentReference"/>
          <w:b w:val="0"/>
          <w:bCs w:val="0"/>
        </w:rPr>
        <w:commentReference w:id="140"/>
      </w:r>
      <w:bookmarkEnd w:id="139"/>
      <w:r>
        <w:t xml:space="preserve"> </w:t>
      </w:r>
    </w:p>
    <w:p w14:paraId="4A0B2BF8" w14:textId="3658343A" w:rsidR="00C96874" w:rsidRDefault="004D5ACA" w:rsidP="00C96874">
      <w:pPr>
        <w:jc w:val="center"/>
      </w:pPr>
      <w:r w:rsidRPr="004D5ACA">
        <w:rPr>
          <w:noProof/>
          <w:lang w:val="en-US" w:eastAsia="en-US"/>
        </w:rPr>
        <w:drawing>
          <wp:inline distT="0" distB="0" distL="0" distR="0" wp14:anchorId="042DF8CB" wp14:editId="2DA7C099">
            <wp:extent cx="5504099" cy="2782570"/>
            <wp:effectExtent l="0" t="0" r="1905" b="0"/>
            <wp:docPr id="591838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167"/>
                    <a:stretch/>
                  </pic:blipFill>
                  <pic:spPr bwMode="auto">
                    <a:xfrm>
                      <a:off x="0" y="0"/>
                      <a:ext cx="5505838" cy="2783449"/>
                    </a:xfrm>
                    <a:prstGeom prst="rect">
                      <a:avLst/>
                    </a:prstGeom>
                    <a:noFill/>
                    <a:ln>
                      <a:noFill/>
                    </a:ln>
                    <a:extLst>
                      <a:ext uri="{53640926-AAD7-44D8-BBD7-CCE9431645EC}">
                        <a14:shadowObscured xmlns:a14="http://schemas.microsoft.com/office/drawing/2010/main"/>
                      </a:ext>
                    </a:extLst>
                  </pic:spPr>
                </pic:pic>
              </a:graphicData>
            </a:graphic>
          </wp:inline>
        </w:drawing>
      </w:r>
    </w:p>
    <w:p w14:paraId="01D1A98C" w14:textId="7DB49D97" w:rsidR="0082365B" w:rsidRPr="0082365B" w:rsidRDefault="0082365B" w:rsidP="0082365B">
      <w:pPr>
        <w:pStyle w:val="NumberedPara"/>
        <w:numPr>
          <w:ilvl w:val="0"/>
          <w:numId w:val="0"/>
        </w:numPr>
        <w:ind w:left="426" w:hanging="426"/>
        <w:rPr>
          <w:i/>
          <w:iCs/>
          <w:sz w:val="16"/>
          <w:szCs w:val="16"/>
        </w:rPr>
      </w:pPr>
      <w:bookmarkStart w:id="141" w:name="_Hlk139448782"/>
      <w:r w:rsidRPr="00B76AD5">
        <w:rPr>
          <w:i/>
          <w:iCs/>
          <w:sz w:val="16"/>
          <w:szCs w:val="16"/>
        </w:rPr>
        <w:t xml:space="preserve">Source: </w:t>
      </w:r>
      <w:r w:rsidR="001300B3">
        <w:rPr>
          <w:i/>
          <w:iCs/>
          <w:sz w:val="16"/>
          <w:szCs w:val="16"/>
        </w:rPr>
        <w:t>Kad Financial Statements 2017-2022</w:t>
      </w:r>
    </w:p>
    <w:bookmarkEnd w:id="141"/>
    <w:p w14:paraId="7CFC19F3" w14:textId="77777777" w:rsidR="0082365B" w:rsidRPr="0050403A" w:rsidRDefault="0082365B" w:rsidP="00C96874">
      <w:pPr>
        <w:jc w:val="center"/>
      </w:pPr>
    </w:p>
    <w:p w14:paraId="38D3209A" w14:textId="7AEF39CB" w:rsidR="001B5EB8" w:rsidRPr="00C012DA" w:rsidRDefault="0079648C" w:rsidP="0082365B">
      <w:pPr>
        <w:pStyle w:val="NumberedPara"/>
        <w:tabs>
          <w:tab w:val="clear" w:pos="2127"/>
          <w:tab w:val="num" w:pos="2410"/>
        </w:tabs>
        <w:ind w:left="567"/>
      </w:pPr>
      <w:r>
        <w:t xml:space="preserve">Over the years, </w:t>
      </w:r>
      <w:r w:rsidRPr="00C012DA">
        <w:t xml:space="preserve">Capital Receipts </w:t>
      </w:r>
      <w:r>
        <w:t>have been consistently budgeted, however no performance was recorded e</w:t>
      </w:r>
      <w:r w:rsidRPr="00C012DA">
        <w:t>xcept for 2017, 2018</w:t>
      </w:r>
      <w:r>
        <w:t xml:space="preserve">, </w:t>
      </w:r>
      <w:r w:rsidRPr="00C012DA">
        <w:t>2021</w:t>
      </w:r>
      <w:r>
        <w:t xml:space="preserve"> and 2022</w:t>
      </w:r>
      <w:r w:rsidRPr="00C012DA">
        <w:t xml:space="preserve"> largely due to government commitments</w:t>
      </w:r>
      <w:r>
        <w:t xml:space="preserve"> in accessing and implementing in line with the agreed terms</w:t>
      </w:r>
      <w:r w:rsidRPr="00C012DA">
        <w:t>.</w:t>
      </w:r>
      <w:r>
        <w:t xml:space="preserve"> </w:t>
      </w:r>
      <w:r w:rsidR="001B5EB8" w:rsidRPr="00C012DA">
        <w:t>Other Capital Receipts comprise revenue from sales of capital assets de</w:t>
      </w:r>
      <w:r>
        <w:t>dicated for capital expenditure, s</w:t>
      </w:r>
      <w:r w:rsidR="001B5EB8" w:rsidRPr="00C012DA">
        <w:t>urvey and demarcation of layouts, dev</w:t>
      </w:r>
      <w:r>
        <w:t>elopment levy by land allottees,</w:t>
      </w:r>
      <w:r w:rsidR="001B5EB8" w:rsidRPr="00C012DA">
        <w:t xml:space="preserve"> Ecological Fund, </w:t>
      </w:r>
      <w:r w:rsidRPr="00C012DA">
        <w:t>etc.</w:t>
      </w:r>
    </w:p>
    <w:p w14:paraId="61C4204D" w14:textId="540832F3" w:rsidR="00C96874" w:rsidRDefault="00C96874" w:rsidP="00C96874">
      <w:pPr>
        <w:pStyle w:val="StyleCaptionCentered"/>
      </w:pPr>
      <w:bookmarkStart w:id="142" w:name="_Toc107777903"/>
      <w:bookmarkStart w:id="143" w:name="_Toc143179924"/>
      <w:r>
        <w:t xml:space="preserve">Figure </w:t>
      </w:r>
      <w:r>
        <w:fldChar w:fldCharType="begin"/>
      </w:r>
      <w:r>
        <w:instrText xml:space="preserve"> SEQ Figure \* ARABIC </w:instrText>
      </w:r>
      <w:r>
        <w:fldChar w:fldCharType="separate"/>
      </w:r>
      <w:r w:rsidR="00727B66">
        <w:rPr>
          <w:noProof/>
        </w:rPr>
        <w:t>20</w:t>
      </w:r>
      <w:r>
        <w:rPr>
          <w:noProof/>
        </w:rPr>
        <w:fldChar w:fldCharType="end"/>
      </w:r>
      <w:r>
        <w:t xml:space="preserve">: Loans / </w:t>
      </w:r>
      <w:commentRangeStart w:id="144"/>
      <w:r>
        <w:t>Financing</w:t>
      </w:r>
      <w:bookmarkEnd w:id="142"/>
      <w:commentRangeEnd w:id="144"/>
      <w:r w:rsidR="0041427E">
        <w:rPr>
          <w:rStyle w:val="CommentReference"/>
          <w:b w:val="0"/>
          <w:bCs w:val="0"/>
        </w:rPr>
        <w:commentReference w:id="144"/>
      </w:r>
      <w:bookmarkEnd w:id="143"/>
      <w:r>
        <w:t xml:space="preserve"> </w:t>
      </w:r>
    </w:p>
    <w:p w14:paraId="3C1819B1" w14:textId="70D858CE" w:rsidR="00C96874" w:rsidRDefault="004D5ACA" w:rsidP="00C96874">
      <w:pPr>
        <w:jc w:val="center"/>
      </w:pPr>
      <w:r w:rsidRPr="004D5ACA">
        <w:rPr>
          <w:noProof/>
          <w:lang w:val="en-US" w:eastAsia="en-US"/>
        </w:rPr>
        <w:drawing>
          <wp:inline distT="0" distB="0" distL="0" distR="0" wp14:anchorId="554D1025" wp14:editId="56F7A693">
            <wp:extent cx="5503589" cy="2575615"/>
            <wp:effectExtent l="0" t="0" r="1905" b="0"/>
            <wp:docPr id="430675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541"/>
                    <a:stretch/>
                  </pic:blipFill>
                  <pic:spPr bwMode="auto">
                    <a:xfrm>
                      <a:off x="0" y="0"/>
                      <a:ext cx="5510110" cy="2578667"/>
                    </a:xfrm>
                    <a:prstGeom prst="rect">
                      <a:avLst/>
                    </a:prstGeom>
                    <a:noFill/>
                    <a:ln>
                      <a:noFill/>
                    </a:ln>
                    <a:extLst>
                      <a:ext uri="{53640926-AAD7-44D8-BBD7-CCE9431645EC}">
                        <a14:shadowObscured xmlns:a14="http://schemas.microsoft.com/office/drawing/2010/main"/>
                      </a:ext>
                    </a:extLst>
                  </pic:spPr>
                </pic:pic>
              </a:graphicData>
            </a:graphic>
          </wp:inline>
        </w:drawing>
      </w:r>
    </w:p>
    <w:p w14:paraId="47A850FA" w14:textId="3C106C64" w:rsidR="0082365B" w:rsidRPr="0082365B" w:rsidRDefault="0082365B" w:rsidP="0082365B">
      <w:pPr>
        <w:pStyle w:val="NumberedPara"/>
        <w:numPr>
          <w:ilvl w:val="0"/>
          <w:numId w:val="0"/>
        </w:numPr>
        <w:ind w:left="426" w:hanging="426"/>
        <w:rPr>
          <w:i/>
          <w:iCs/>
          <w:sz w:val="16"/>
          <w:szCs w:val="16"/>
        </w:rPr>
      </w:pPr>
      <w:r w:rsidRPr="00B76AD5">
        <w:rPr>
          <w:i/>
          <w:iCs/>
          <w:sz w:val="16"/>
          <w:szCs w:val="16"/>
        </w:rPr>
        <w:t xml:space="preserve">Source: </w:t>
      </w:r>
      <w:r>
        <w:rPr>
          <w:i/>
          <w:iCs/>
          <w:sz w:val="16"/>
          <w:szCs w:val="16"/>
        </w:rPr>
        <w:t xml:space="preserve">Kad 2024-2026 MTEF </w:t>
      </w:r>
    </w:p>
    <w:p w14:paraId="039E6E7A" w14:textId="78A07765" w:rsidR="00C96874" w:rsidRPr="0097134C" w:rsidRDefault="00D4658E" w:rsidP="0082365B">
      <w:pPr>
        <w:pStyle w:val="NumberedPara"/>
        <w:tabs>
          <w:tab w:val="clear" w:pos="2127"/>
          <w:tab w:val="num" w:pos="2694"/>
        </w:tabs>
        <w:ind w:left="567"/>
      </w:pPr>
      <w:r>
        <w:t>The loans include internal and external l</w:t>
      </w:r>
      <w:r w:rsidR="009D1E84" w:rsidRPr="0097134C">
        <w:t>oans. Internal Loans comprise Capital Market receipts and Commercial Bank Loans (including Nigerian Export-Import Bank (NEXIM)), Central Bank of Nigeria</w:t>
      </w:r>
      <w:r w:rsidR="0087502E" w:rsidRPr="0097134C">
        <w:t>,</w:t>
      </w:r>
      <w:r w:rsidR="009D1E84" w:rsidRPr="0097134C">
        <w:t xml:space="preserve"> etc. External Loans are receipts from World Bank, Islamic Development Bank (</w:t>
      </w:r>
      <w:proofErr w:type="spellStart"/>
      <w:r w:rsidR="009D1E84" w:rsidRPr="0097134C">
        <w:t>IsDB</w:t>
      </w:r>
      <w:proofErr w:type="spellEnd"/>
      <w:r w:rsidR="009D1E84" w:rsidRPr="0097134C">
        <w:t>)</w:t>
      </w:r>
      <w:r w:rsidR="0087502E" w:rsidRPr="0097134C">
        <w:t>,</w:t>
      </w:r>
      <w:r w:rsidR="009D1E84" w:rsidRPr="0097134C">
        <w:t xml:space="preserve"> and African Development Bank (AfDB).</w:t>
      </w:r>
    </w:p>
    <w:p w14:paraId="62787510" w14:textId="507031E3" w:rsidR="0097134C" w:rsidRPr="0097134C" w:rsidRDefault="00D4658E" w:rsidP="0082365B">
      <w:pPr>
        <w:pStyle w:val="NumberedPara"/>
        <w:tabs>
          <w:tab w:val="clear" w:pos="2127"/>
          <w:tab w:val="num" w:pos="2694"/>
        </w:tabs>
        <w:ind w:left="567"/>
      </w:pPr>
      <w:r>
        <w:t>There was</w:t>
      </w:r>
      <w:r w:rsidR="0097134C" w:rsidRPr="0097134C">
        <w:t xml:space="preserve"> underperformance of loans </w:t>
      </w:r>
      <w:proofErr w:type="gramStart"/>
      <w:r w:rsidR="0097134C" w:rsidRPr="0097134C">
        <w:t>as a result of</w:t>
      </w:r>
      <w:proofErr w:type="gramEnd"/>
      <w:r w:rsidR="0097134C" w:rsidRPr="0097134C">
        <w:t xml:space="preserve"> the inability to finalize the process</w:t>
      </w:r>
      <w:r>
        <w:t xml:space="preserve">es of- accessing the loans in 2019 and 2020 </w:t>
      </w:r>
      <w:r w:rsidR="0097134C" w:rsidRPr="0097134C">
        <w:t>fiscal year</w:t>
      </w:r>
      <w:r>
        <w:t>s</w:t>
      </w:r>
      <w:r w:rsidR="0097134C" w:rsidRPr="0097134C">
        <w:t xml:space="preserve">. However, in 2021 – 2022 there was an increase in </w:t>
      </w:r>
      <w:r>
        <w:t xml:space="preserve">the </w:t>
      </w:r>
      <w:r w:rsidR="0097134C" w:rsidRPr="0097134C">
        <w:t>performance because the state was able to access the World Bank Performance for Result Loan (P4R).</w:t>
      </w:r>
    </w:p>
    <w:p w14:paraId="7000E342" w14:textId="77777777" w:rsidR="00C96874" w:rsidRDefault="00C96874" w:rsidP="0087502E">
      <w:pPr>
        <w:pStyle w:val="Heading3"/>
      </w:pPr>
      <w:bookmarkStart w:id="145" w:name="_Toc143179796"/>
      <w:r>
        <w:lastRenderedPageBreak/>
        <w:t xml:space="preserve">Expenditure </w:t>
      </w:r>
      <w:commentRangeStart w:id="146"/>
      <w:r>
        <w:t>Side</w:t>
      </w:r>
      <w:commentRangeEnd w:id="146"/>
      <w:r w:rsidR="0041427E">
        <w:rPr>
          <w:rStyle w:val="CommentReference"/>
          <w:b w:val="0"/>
          <w:bCs w:val="0"/>
        </w:rPr>
        <w:commentReference w:id="146"/>
      </w:r>
      <w:bookmarkEnd w:id="145"/>
    </w:p>
    <w:p w14:paraId="1E688D53" w14:textId="2A2AE235" w:rsidR="00C96874" w:rsidRPr="000351C1" w:rsidRDefault="00C96874" w:rsidP="009834EF">
      <w:pPr>
        <w:pStyle w:val="NumberedPara"/>
        <w:tabs>
          <w:tab w:val="clear" w:pos="2127"/>
          <w:tab w:val="num" w:pos="2694"/>
        </w:tabs>
        <w:ind w:left="567"/>
      </w:pPr>
      <w:r w:rsidRPr="000567BF">
        <w:t>On the expenditure side, the document looks at Consolidated Revenue Fund (CRF) charges, Personnel, Overheads and Capital Expenditure – original budget versus actual for the period 20</w:t>
      </w:r>
      <w:r w:rsidR="00A96F89" w:rsidRPr="000567BF">
        <w:t>1</w:t>
      </w:r>
      <w:r w:rsidR="00C27120">
        <w:t>7</w:t>
      </w:r>
      <w:r w:rsidRPr="000567BF">
        <w:t>-20</w:t>
      </w:r>
      <w:r w:rsidR="00A96F89" w:rsidRPr="000567BF">
        <w:t>2</w:t>
      </w:r>
      <w:r w:rsidR="00C27120">
        <w:t>2</w:t>
      </w:r>
      <w:r w:rsidRPr="000567BF">
        <w:t xml:space="preserve"> (six years) and 20</w:t>
      </w:r>
      <w:r w:rsidR="00A96F89" w:rsidRPr="000567BF">
        <w:t>2</w:t>
      </w:r>
      <w:r w:rsidR="00C27120">
        <w:t>3</w:t>
      </w:r>
      <w:r w:rsidRPr="000567BF">
        <w:t xml:space="preserve"> budget.</w:t>
      </w:r>
    </w:p>
    <w:p w14:paraId="4CEF1768" w14:textId="437E7FDB" w:rsidR="00C96874" w:rsidRDefault="00C96874" w:rsidP="00C96874">
      <w:pPr>
        <w:pStyle w:val="StyleCaptionCentered"/>
      </w:pPr>
      <w:bookmarkStart w:id="147" w:name="_Toc107777904"/>
      <w:bookmarkStart w:id="148" w:name="_Toc143179925"/>
      <w:r>
        <w:t xml:space="preserve">Figure </w:t>
      </w:r>
      <w:r>
        <w:fldChar w:fldCharType="begin"/>
      </w:r>
      <w:r>
        <w:instrText xml:space="preserve"> SEQ Figure \* ARABIC </w:instrText>
      </w:r>
      <w:r>
        <w:fldChar w:fldCharType="separate"/>
      </w:r>
      <w:r w:rsidR="00727B66">
        <w:rPr>
          <w:noProof/>
        </w:rPr>
        <w:t>21</w:t>
      </w:r>
      <w:r>
        <w:rPr>
          <w:noProof/>
        </w:rPr>
        <w:fldChar w:fldCharType="end"/>
      </w:r>
      <w:r>
        <w:t xml:space="preserve">: </w:t>
      </w:r>
      <w:commentRangeStart w:id="149"/>
      <w:r>
        <w:t>Personnel</w:t>
      </w:r>
      <w:bookmarkEnd w:id="147"/>
      <w:commentRangeEnd w:id="149"/>
      <w:r w:rsidR="0041427E">
        <w:rPr>
          <w:rStyle w:val="CommentReference"/>
          <w:b w:val="0"/>
          <w:bCs w:val="0"/>
        </w:rPr>
        <w:commentReference w:id="149"/>
      </w:r>
      <w:bookmarkEnd w:id="148"/>
    </w:p>
    <w:p w14:paraId="0B61C36E" w14:textId="18B8EB8C" w:rsidR="00C96874" w:rsidRDefault="00DA2F16" w:rsidP="00C96874">
      <w:pPr>
        <w:jc w:val="center"/>
      </w:pPr>
      <w:r w:rsidRPr="00DA2F16">
        <w:rPr>
          <w:noProof/>
          <w:lang w:val="en-US" w:eastAsia="en-US"/>
        </w:rPr>
        <w:drawing>
          <wp:inline distT="0" distB="0" distL="0" distR="0" wp14:anchorId="006497AC" wp14:editId="19F47C7A">
            <wp:extent cx="5504815" cy="2788561"/>
            <wp:effectExtent l="0" t="0" r="635" b="0"/>
            <wp:docPr id="17409557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6902"/>
                    <a:stretch/>
                  </pic:blipFill>
                  <pic:spPr bwMode="auto">
                    <a:xfrm>
                      <a:off x="0" y="0"/>
                      <a:ext cx="5504815" cy="2788561"/>
                    </a:xfrm>
                    <a:prstGeom prst="rect">
                      <a:avLst/>
                    </a:prstGeom>
                    <a:noFill/>
                    <a:ln>
                      <a:noFill/>
                    </a:ln>
                    <a:extLst>
                      <a:ext uri="{53640926-AAD7-44D8-BBD7-CCE9431645EC}">
                        <a14:shadowObscured xmlns:a14="http://schemas.microsoft.com/office/drawing/2010/main"/>
                      </a:ext>
                    </a:extLst>
                  </pic:spPr>
                </pic:pic>
              </a:graphicData>
            </a:graphic>
          </wp:inline>
        </w:drawing>
      </w:r>
    </w:p>
    <w:p w14:paraId="538BCD9F" w14:textId="656C838C" w:rsidR="009834EF" w:rsidRPr="009834EF" w:rsidRDefault="009834EF" w:rsidP="009834EF">
      <w:pPr>
        <w:pStyle w:val="NumberedPara"/>
        <w:numPr>
          <w:ilvl w:val="0"/>
          <w:numId w:val="0"/>
        </w:numPr>
        <w:ind w:left="426" w:hanging="426"/>
        <w:rPr>
          <w:i/>
          <w:iCs/>
          <w:sz w:val="16"/>
          <w:szCs w:val="16"/>
        </w:rPr>
      </w:pPr>
      <w:r w:rsidRPr="00B76AD5">
        <w:rPr>
          <w:i/>
          <w:iCs/>
          <w:sz w:val="16"/>
          <w:szCs w:val="16"/>
        </w:rPr>
        <w:t xml:space="preserve">Source: </w:t>
      </w:r>
      <w:r w:rsidR="007B6BF3">
        <w:rPr>
          <w:i/>
          <w:iCs/>
          <w:sz w:val="16"/>
          <w:szCs w:val="16"/>
        </w:rPr>
        <w:t>Kad Financial Statements 2017-2022</w:t>
      </w:r>
    </w:p>
    <w:p w14:paraId="7257F88E" w14:textId="1DD8F839" w:rsidR="00F97C7B" w:rsidRDefault="00F97C7B" w:rsidP="009834EF">
      <w:pPr>
        <w:pStyle w:val="NumberedPara"/>
        <w:tabs>
          <w:tab w:val="clear" w:pos="2127"/>
        </w:tabs>
        <w:ind w:left="567"/>
      </w:pPr>
      <w:r w:rsidRPr="000567BF">
        <w:t>There was a significant increase in budgeted and actual Pers</w:t>
      </w:r>
      <w:r w:rsidR="00E852AD">
        <w:t xml:space="preserve">onnel Expenditure in 2017 which was </w:t>
      </w:r>
      <w:r w:rsidRPr="000567BF">
        <w:t>due to the capture of 60% contribution from Local Government Councils for the P</w:t>
      </w:r>
      <w:r w:rsidR="00E852AD">
        <w:t xml:space="preserve">rimary Health Care Personnel cost. Also, </w:t>
      </w:r>
      <w:r w:rsidR="00E852AD" w:rsidRPr="000567BF">
        <w:t>plans</w:t>
      </w:r>
      <w:r w:rsidRPr="000567BF">
        <w:t xml:space="preserve"> for additional staff into the service </w:t>
      </w:r>
      <w:r w:rsidR="00D4658E">
        <w:t>(</w:t>
      </w:r>
      <w:r w:rsidRPr="000567BF">
        <w:t>mostly health and education workers</w:t>
      </w:r>
      <w:r w:rsidR="00D4658E">
        <w:t>)</w:t>
      </w:r>
      <w:r w:rsidRPr="000567BF">
        <w:t xml:space="preserve"> h</w:t>
      </w:r>
      <w:r w:rsidR="001034D2" w:rsidRPr="000567BF">
        <w:t>ave</w:t>
      </w:r>
      <w:r w:rsidRPr="000567BF">
        <w:t xml:space="preserve"> informed the increase in the Budgeted P</w:t>
      </w:r>
      <w:r w:rsidR="000567BF" w:rsidRPr="000567BF">
        <w:t xml:space="preserve">ersonnel figure of 2017 </w:t>
      </w:r>
      <w:r w:rsidR="001D62E2">
        <w:t>to</w:t>
      </w:r>
      <w:r w:rsidR="000567BF" w:rsidRPr="000567BF">
        <w:t xml:space="preserve"> 202</w:t>
      </w:r>
      <w:r w:rsidR="00525BAB">
        <w:t>1</w:t>
      </w:r>
      <w:r w:rsidR="000567BF" w:rsidRPr="000567BF">
        <w:t>.</w:t>
      </w:r>
      <w:r w:rsidR="001D62E2">
        <w:t xml:space="preserve"> </w:t>
      </w:r>
      <w:r w:rsidR="00525BAB">
        <w:t xml:space="preserve">In 2022 the payment of 8 </w:t>
      </w:r>
      <w:r w:rsidR="008F0F4D">
        <w:t>months’</w:t>
      </w:r>
      <w:r w:rsidR="00525BAB">
        <w:t xml:space="preserve"> salar</w:t>
      </w:r>
      <w:r w:rsidR="00774B11">
        <w:t>y</w:t>
      </w:r>
      <w:r w:rsidR="00525BAB">
        <w:t xml:space="preserve"> </w:t>
      </w:r>
      <w:r w:rsidR="0096708C">
        <w:t>arrears</w:t>
      </w:r>
      <w:r w:rsidR="00525BAB">
        <w:t xml:space="preserve"> to secondary school teachers that were employed in 2021 accounted for the increase in actual performance.</w:t>
      </w:r>
    </w:p>
    <w:p w14:paraId="723E1897" w14:textId="24CCA59B" w:rsidR="00525BAB" w:rsidRPr="000567BF" w:rsidRDefault="00E852AD" w:rsidP="009834EF">
      <w:pPr>
        <w:pStyle w:val="NumberedPara"/>
        <w:tabs>
          <w:tab w:val="clear" w:pos="2127"/>
        </w:tabs>
        <w:ind w:left="567"/>
      </w:pPr>
      <w:r>
        <w:t xml:space="preserve">In 2023 the personnel cost may likely increase significantly due possible increase in the minimum wage because of the removal of fuel subsidy. </w:t>
      </w:r>
      <w:r w:rsidR="00525BAB">
        <w:t>We expect to see</w:t>
      </w:r>
      <w:r w:rsidR="00D4658E">
        <w:t xml:space="preserve"> increase</w:t>
      </w:r>
      <w:r w:rsidR="00493A7F">
        <w:t>s</w:t>
      </w:r>
      <w:r w:rsidR="00D4658E">
        <w:t xml:space="preserve"> in 2023 and 2024</w:t>
      </w:r>
      <w:r>
        <w:t>,</w:t>
      </w:r>
      <w:r w:rsidR="00D4658E">
        <w:t xml:space="preserve"> all things</w:t>
      </w:r>
      <w:r w:rsidR="00525BAB">
        <w:t xml:space="preserve"> being equal. </w:t>
      </w:r>
    </w:p>
    <w:p w14:paraId="286A3730" w14:textId="5FD8EC99" w:rsidR="00C96874" w:rsidRDefault="00C96874" w:rsidP="00C96874">
      <w:pPr>
        <w:pStyle w:val="StyleCaptionCentered"/>
      </w:pPr>
      <w:bookmarkStart w:id="150" w:name="_Toc107777905"/>
      <w:bookmarkStart w:id="151" w:name="_Toc143179926"/>
      <w:r>
        <w:t xml:space="preserve">Figure </w:t>
      </w:r>
      <w:r>
        <w:fldChar w:fldCharType="begin"/>
      </w:r>
      <w:r>
        <w:instrText xml:space="preserve"> SEQ Figure \* ARABIC </w:instrText>
      </w:r>
      <w:r>
        <w:fldChar w:fldCharType="separate"/>
      </w:r>
      <w:r w:rsidR="00727B66">
        <w:rPr>
          <w:noProof/>
        </w:rPr>
        <w:t>22</w:t>
      </w:r>
      <w:r>
        <w:rPr>
          <w:noProof/>
        </w:rPr>
        <w:fldChar w:fldCharType="end"/>
      </w:r>
      <w:r>
        <w:t>: Overheads</w:t>
      </w:r>
      <w:bookmarkEnd w:id="150"/>
      <w:bookmarkEnd w:id="151"/>
    </w:p>
    <w:p w14:paraId="0DD3F2F3" w14:textId="18AC0242" w:rsidR="00C96874" w:rsidRDefault="00DA2F16" w:rsidP="00C96874">
      <w:pPr>
        <w:pStyle w:val="StyleCaptionCentered"/>
      </w:pPr>
      <w:r w:rsidRPr="00DA2F16">
        <w:rPr>
          <w:noProof/>
          <w:lang w:val="en-US" w:eastAsia="en-US"/>
        </w:rPr>
        <w:drawing>
          <wp:inline distT="0" distB="0" distL="0" distR="0" wp14:anchorId="0F6101D8" wp14:editId="62001AFB">
            <wp:extent cx="5504815" cy="2830858"/>
            <wp:effectExtent l="0" t="0" r="635" b="7620"/>
            <wp:docPr id="6676404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570"/>
                    <a:stretch/>
                  </pic:blipFill>
                  <pic:spPr bwMode="auto">
                    <a:xfrm>
                      <a:off x="0" y="0"/>
                      <a:ext cx="5504815" cy="2830858"/>
                    </a:xfrm>
                    <a:prstGeom prst="rect">
                      <a:avLst/>
                    </a:prstGeom>
                    <a:noFill/>
                    <a:ln>
                      <a:noFill/>
                    </a:ln>
                    <a:extLst>
                      <a:ext uri="{53640926-AAD7-44D8-BBD7-CCE9431645EC}">
                        <a14:shadowObscured xmlns:a14="http://schemas.microsoft.com/office/drawing/2010/main"/>
                      </a:ext>
                    </a:extLst>
                  </pic:spPr>
                </pic:pic>
              </a:graphicData>
            </a:graphic>
          </wp:inline>
        </w:drawing>
      </w:r>
    </w:p>
    <w:p w14:paraId="76CD8523" w14:textId="3EF89096" w:rsidR="009834EF" w:rsidRPr="009834EF" w:rsidRDefault="009834EF" w:rsidP="009834EF">
      <w:pPr>
        <w:pStyle w:val="NumberedPara"/>
        <w:numPr>
          <w:ilvl w:val="0"/>
          <w:numId w:val="0"/>
        </w:numPr>
        <w:ind w:left="426" w:hanging="426"/>
        <w:rPr>
          <w:i/>
          <w:iCs/>
          <w:sz w:val="16"/>
          <w:szCs w:val="16"/>
        </w:rPr>
      </w:pPr>
      <w:r w:rsidRPr="00B76AD5">
        <w:rPr>
          <w:i/>
          <w:iCs/>
          <w:sz w:val="16"/>
          <w:szCs w:val="16"/>
        </w:rPr>
        <w:t xml:space="preserve">Source: </w:t>
      </w:r>
      <w:r w:rsidR="007B6BF3">
        <w:rPr>
          <w:i/>
          <w:iCs/>
          <w:sz w:val="16"/>
          <w:szCs w:val="16"/>
        </w:rPr>
        <w:t>Kad Financial Statements 2017-2022</w:t>
      </w:r>
    </w:p>
    <w:p w14:paraId="171C04D5" w14:textId="152F43E5" w:rsidR="00A96F89" w:rsidRPr="00F81233" w:rsidRDefault="00BD71B0" w:rsidP="009834EF">
      <w:pPr>
        <w:pStyle w:val="NumberedPara"/>
        <w:tabs>
          <w:tab w:val="clear" w:pos="2127"/>
        </w:tabs>
        <w:ind w:left="567"/>
      </w:pPr>
      <w:r w:rsidRPr="00F81233">
        <w:lastRenderedPageBreak/>
        <w:t xml:space="preserve">The State witnessed a steep rise in Overhead Cost Expenditure </w:t>
      </w:r>
      <w:r w:rsidR="00B5029F">
        <w:t>from</w:t>
      </w:r>
      <w:r w:rsidRPr="00F81233">
        <w:t xml:space="preserve"> 2017 </w:t>
      </w:r>
      <w:r w:rsidR="00E301E4" w:rsidRPr="00F81233">
        <w:t xml:space="preserve">to </w:t>
      </w:r>
      <w:r w:rsidRPr="00F81233">
        <w:t>20</w:t>
      </w:r>
      <w:r w:rsidR="00B5029F">
        <w:t>22</w:t>
      </w:r>
      <w:r w:rsidRPr="00F81233">
        <w:t xml:space="preserve"> due to its decision to implement IPSAS which necessitate</w:t>
      </w:r>
      <w:r w:rsidR="00E852AD">
        <w:t>d</w:t>
      </w:r>
      <w:r w:rsidRPr="00F81233">
        <w:t xml:space="preserve"> the transfer of gratuity from Personnel Cost</w:t>
      </w:r>
      <w:r w:rsidR="001034D2" w:rsidRPr="00F81233">
        <w:t>s</w:t>
      </w:r>
      <w:r w:rsidRPr="00F81233">
        <w:t xml:space="preserve"> to Overhead Cost.</w:t>
      </w:r>
    </w:p>
    <w:p w14:paraId="2DB526FB" w14:textId="1A1176E5" w:rsidR="00BD71B0" w:rsidRPr="00F81233" w:rsidRDefault="00BD71B0" w:rsidP="009834EF">
      <w:pPr>
        <w:pStyle w:val="NumberedPara"/>
        <w:tabs>
          <w:tab w:val="clear" w:pos="2127"/>
        </w:tabs>
        <w:ind w:left="567"/>
      </w:pPr>
      <w:r w:rsidRPr="00F81233">
        <w:t xml:space="preserve">In 2020, Overhead </w:t>
      </w:r>
      <w:r w:rsidR="008E2390" w:rsidRPr="00F81233">
        <w:t>Costs</w:t>
      </w:r>
      <w:r w:rsidRPr="00F81233">
        <w:t xml:space="preserve"> </w:t>
      </w:r>
      <w:r w:rsidR="008E2390" w:rsidRPr="00F81233">
        <w:t>increased</w:t>
      </w:r>
      <w:r w:rsidRPr="00F81233">
        <w:t xml:space="preserve"> due to </w:t>
      </w:r>
      <w:r w:rsidR="008E2390" w:rsidRPr="00F81233">
        <w:t xml:space="preserve">COVID-19 containment measures </w:t>
      </w:r>
      <w:r w:rsidR="00E06112" w:rsidRPr="00F81233">
        <w:t>because of</w:t>
      </w:r>
      <w:r w:rsidR="00B5029F">
        <w:t xml:space="preserve"> State border control, mobile court</w:t>
      </w:r>
      <w:r w:rsidR="00D57845">
        <w:t>, and security personnel engagement</w:t>
      </w:r>
      <w:r w:rsidR="00825595">
        <w:t xml:space="preserve"> etc</w:t>
      </w:r>
      <w:r w:rsidR="00D57845">
        <w:t xml:space="preserve">. </w:t>
      </w:r>
      <w:r w:rsidR="00BB2757">
        <w:t>However,</w:t>
      </w:r>
      <w:r w:rsidR="007C5E7E">
        <w:t xml:space="preserve"> 2021-</w:t>
      </w:r>
      <w:r w:rsidR="00BB2757">
        <w:t>2022</w:t>
      </w:r>
      <w:r w:rsidR="00D57845">
        <w:t xml:space="preserve"> overhead</w:t>
      </w:r>
      <w:r w:rsidR="00BB2757">
        <w:t xml:space="preserve"> expenditure witnessed slight increase</w:t>
      </w:r>
      <w:r w:rsidR="00D57845">
        <w:t xml:space="preserve"> due to the centralization </w:t>
      </w:r>
      <w:r w:rsidR="007C5E7E">
        <w:t>policy on some expenditures</w:t>
      </w:r>
      <w:r w:rsidR="00825595">
        <w:t xml:space="preserve"> mainly stationeries, motors and generating plants fuelling, Domestic Tour Allowance (DTA) etc</w:t>
      </w:r>
      <w:r w:rsidRPr="00F81233">
        <w:t xml:space="preserve">. </w:t>
      </w:r>
      <w:r w:rsidR="00BB2757">
        <w:t>We</w:t>
      </w:r>
      <w:r w:rsidR="005C7FF8" w:rsidRPr="00F81233">
        <w:t xml:space="preserve"> expect an improved performance in 202</w:t>
      </w:r>
      <w:r w:rsidR="00F81233">
        <w:t>3</w:t>
      </w:r>
      <w:r w:rsidR="005C7FF8" w:rsidRPr="00F81233">
        <w:t xml:space="preserve">. </w:t>
      </w:r>
    </w:p>
    <w:p w14:paraId="6DD4FEAC" w14:textId="5A19601D" w:rsidR="00C96874" w:rsidRDefault="00C96874" w:rsidP="00A96F89">
      <w:pPr>
        <w:pStyle w:val="NumberedPara"/>
        <w:numPr>
          <w:ilvl w:val="0"/>
          <w:numId w:val="0"/>
        </w:numPr>
        <w:ind w:left="426"/>
      </w:pPr>
      <w:r>
        <w:t xml:space="preserve"> </w:t>
      </w:r>
      <w:r w:rsidRPr="00493671">
        <w:t xml:space="preserve"> </w:t>
      </w:r>
    </w:p>
    <w:p w14:paraId="1F3AF277" w14:textId="2E1F5C3E" w:rsidR="00C96874" w:rsidRDefault="00C96874" w:rsidP="00C96874">
      <w:pPr>
        <w:pStyle w:val="StyleCaptionCentered"/>
      </w:pPr>
      <w:bookmarkStart w:id="152" w:name="_Toc107777906"/>
      <w:bookmarkStart w:id="153" w:name="_Toc143179927"/>
      <w:r>
        <w:t xml:space="preserve">Figure </w:t>
      </w:r>
      <w:r>
        <w:fldChar w:fldCharType="begin"/>
      </w:r>
      <w:r>
        <w:instrText xml:space="preserve"> SEQ Figure \* ARABIC </w:instrText>
      </w:r>
      <w:r>
        <w:fldChar w:fldCharType="separate"/>
      </w:r>
      <w:r w:rsidR="00727B66">
        <w:rPr>
          <w:noProof/>
        </w:rPr>
        <w:t>23</w:t>
      </w:r>
      <w:r>
        <w:rPr>
          <w:noProof/>
        </w:rPr>
        <w:fldChar w:fldCharType="end"/>
      </w:r>
      <w:r>
        <w:t>: Capital Expenditure</w:t>
      </w:r>
      <w:bookmarkEnd w:id="152"/>
      <w:bookmarkEnd w:id="153"/>
      <w:r w:rsidRPr="00465893">
        <w:t xml:space="preserve"> </w:t>
      </w:r>
    </w:p>
    <w:p w14:paraId="33747AF3" w14:textId="127F2607" w:rsidR="00C96874" w:rsidRDefault="00DA2F16" w:rsidP="00C96874">
      <w:pPr>
        <w:jc w:val="center"/>
      </w:pPr>
      <w:r w:rsidRPr="00DA2F16">
        <w:rPr>
          <w:noProof/>
          <w:lang w:val="en-US" w:eastAsia="en-US"/>
        </w:rPr>
        <w:drawing>
          <wp:inline distT="0" distB="0" distL="0" distR="0" wp14:anchorId="61607E07" wp14:editId="0527734C">
            <wp:extent cx="5504815" cy="2814955"/>
            <wp:effectExtent l="0" t="0" r="635" b="4445"/>
            <wp:docPr id="135358059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100"/>
                    <a:stretch/>
                  </pic:blipFill>
                  <pic:spPr bwMode="auto">
                    <a:xfrm>
                      <a:off x="0" y="0"/>
                      <a:ext cx="5504815" cy="2814955"/>
                    </a:xfrm>
                    <a:prstGeom prst="rect">
                      <a:avLst/>
                    </a:prstGeom>
                    <a:noFill/>
                    <a:ln>
                      <a:noFill/>
                    </a:ln>
                    <a:extLst>
                      <a:ext uri="{53640926-AAD7-44D8-BBD7-CCE9431645EC}">
                        <a14:shadowObscured xmlns:a14="http://schemas.microsoft.com/office/drawing/2010/main"/>
                      </a:ext>
                    </a:extLst>
                  </pic:spPr>
                </pic:pic>
              </a:graphicData>
            </a:graphic>
          </wp:inline>
        </w:drawing>
      </w:r>
    </w:p>
    <w:p w14:paraId="7737198C" w14:textId="21A80E63" w:rsidR="001904F6" w:rsidRPr="001904F6" w:rsidRDefault="001904F6" w:rsidP="001904F6">
      <w:pPr>
        <w:pStyle w:val="NumberedPara"/>
        <w:numPr>
          <w:ilvl w:val="0"/>
          <w:numId w:val="0"/>
        </w:numPr>
        <w:ind w:left="426" w:hanging="426"/>
        <w:rPr>
          <w:i/>
          <w:iCs/>
          <w:sz w:val="16"/>
          <w:szCs w:val="16"/>
        </w:rPr>
      </w:pPr>
      <w:r w:rsidRPr="00B76AD5">
        <w:rPr>
          <w:i/>
          <w:iCs/>
          <w:sz w:val="16"/>
          <w:szCs w:val="16"/>
        </w:rPr>
        <w:t xml:space="preserve">Source: </w:t>
      </w:r>
      <w:r w:rsidR="007B6BF3">
        <w:rPr>
          <w:i/>
          <w:iCs/>
          <w:sz w:val="16"/>
          <w:szCs w:val="16"/>
        </w:rPr>
        <w:t>Kad Financial Statements 2017-2022</w:t>
      </w:r>
    </w:p>
    <w:p w14:paraId="1E354883" w14:textId="00D47CAC" w:rsidR="00F25136" w:rsidRPr="000567BF" w:rsidRDefault="00F25136" w:rsidP="009834EF">
      <w:pPr>
        <w:pStyle w:val="NumberedPara"/>
        <w:tabs>
          <w:tab w:val="clear" w:pos="2127"/>
          <w:tab w:val="num" w:pos="2835"/>
        </w:tabs>
        <w:ind w:left="567"/>
      </w:pPr>
      <w:r w:rsidRPr="000567BF">
        <w:t>The dra</w:t>
      </w:r>
      <w:r w:rsidR="00BB2757">
        <w:t>wdown of World Bank Loan</w:t>
      </w:r>
      <w:r w:rsidRPr="000567BF">
        <w:t xml:space="preserve"> led to an increase </w:t>
      </w:r>
      <w:r w:rsidR="000C47F0" w:rsidRPr="000567BF">
        <w:t xml:space="preserve">in </w:t>
      </w:r>
      <w:r w:rsidRPr="000567BF">
        <w:t>Actual Capital Expenditure in 2019</w:t>
      </w:r>
      <w:r w:rsidR="0055614B" w:rsidRPr="000567BF">
        <w:t xml:space="preserve"> and 2020</w:t>
      </w:r>
      <w:r w:rsidRPr="000567BF">
        <w:t xml:space="preserve"> which recorded</w:t>
      </w:r>
      <w:r w:rsidR="00BB2757">
        <w:t xml:space="preserve"> </w:t>
      </w:r>
      <w:r w:rsidR="0055614B" w:rsidRPr="000567BF">
        <w:t>157.26% and</w:t>
      </w:r>
      <w:r w:rsidRPr="000567BF">
        <w:t xml:space="preserve"> 8</w:t>
      </w:r>
      <w:r w:rsidR="0055614B" w:rsidRPr="000567BF">
        <w:t>9.68</w:t>
      </w:r>
      <w:r w:rsidRPr="000567BF">
        <w:t xml:space="preserve">% </w:t>
      </w:r>
      <w:r w:rsidR="00BB2757">
        <w:t>performance</w:t>
      </w:r>
      <w:r w:rsidR="0055614B" w:rsidRPr="000567BF">
        <w:t xml:space="preserve"> respectively</w:t>
      </w:r>
      <w:r w:rsidRPr="000567BF">
        <w:t xml:space="preserve">. The decline in 2019 budgeted </w:t>
      </w:r>
      <w:r w:rsidR="00BB2757">
        <w:t xml:space="preserve">figure </w:t>
      </w:r>
      <w:r w:rsidRPr="000567BF">
        <w:t>as comp</w:t>
      </w:r>
      <w:r w:rsidR="00BB2757">
        <w:t>ared with previous years is consistent with</w:t>
      </w:r>
      <w:r w:rsidRPr="000567BF">
        <w:t xml:space="preserve"> a realistic approach, capturing only undisputable revenue</w:t>
      </w:r>
      <w:r w:rsidR="000C47F0" w:rsidRPr="000567BF">
        <w:t>s</w:t>
      </w:r>
      <w:r w:rsidRPr="000567BF">
        <w:t xml:space="preserve"> that are set to accrue to the State. This was </w:t>
      </w:r>
      <w:r w:rsidR="000C47F0" w:rsidRPr="000567BF">
        <w:t>because of</w:t>
      </w:r>
      <w:r w:rsidRPr="000567BF">
        <w:t xml:space="preserve"> the State’s resolve to make a modest revenue projection in line with the actual trend to avoid </w:t>
      </w:r>
      <w:r w:rsidR="000C47F0" w:rsidRPr="000567BF">
        <w:t xml:space="preserve">a </w:t>
      </w:r>
      <w:r w:rsidRPr="000567BF">
        <w:t>mismatch between</w:t>
      </w:r>
      <w:r w:rsidR="000C47F0" w:rsidRPr="000567BF">
        <w:t xml:space="preserve"> the</w:t>
      </w:r>
      <w:r w:rsidRPr="000567BF">
        <w:t xml:space="preserve"> budget and the actual.</w:t>
      </w:r>
    </w:p>
    <w:p w14:paraId="694AB997" w14:textId="7F044A9C" w:rsidR="00F25136" w:rsidRDefault="0055614B" w:rsidP="009834EF">
      <w:pPr>
        <w:pStyle w:val="NumberedPara"/>
        <w:tabs>
          <w:tab w:val="clear" w:pos="2127"/>
          <w:tab w:val="num" w:pos="2835"/>
        </w:tabs>
        <w:ind w:left="567"/>
      </w:pPr>
      <w:r w:rsidRPr="000567BF">
        <w:t xml:space="preserve">There </w:t>
      </w:r>
      <w:r w:rsidR="00273D8A">
        <w:t>was</w:t>
      </w:r>
      <w:r w:rsidR="001904F6">
        <w:t xml:space="preserve"> </w:t>
      </w:r>
      <w:r w:rsidR="000567BF" w:rsidRPr="000567BF">
        <w:t>more realistic budgeting in 2020</w:t>
      </w:r>
      <w:r w:rsidR="00510F39">
        <w:t>, 2021, and 2022</w:t>
      </w:r>
      <w:r w:rsidRPr="000567BF">
        <w:t xml:space="preserve"> where budget and actual expenditure almost equate</w:t>
      </w:r>
      <w:r w:rsidR="00BB2757">
        <w:t>d. This was</w:t>
      </w:r>
      <w:r w:rsidRPr="000567BF">
        <w:t xml:space="preserve"> </w:t>
      </w:r>
      <w:r w:rsidR="005C7FF8" w:rsidRPr="000567BF">
        <w:t>because of</w:t>
      </w:r>
      <w:r w:rsidRPr="000567BF">
        <w:t xml:space="preserve"> a modest rev</w:t>
      </w:r>
      <w:r w:rsidR="00BB2757">
        <w:t>enue and expenditure projection</w:t>
      </w:r>
      <w:r w:rsidRPr="000567BF">
        <w:t xml:space="preserve"> couple</w:t>
      </w:r>
      <w:r w:rsidR="000C47F0" w:rsidRPr="000567BF">
        <w:t>d</w:t>
      </w:r>
      <w:r w:rsidRPr="000567BF">
        <w:t xml:space="preserve"> with the State’s Urban Renewal Programme which prioritize</w:t>
      </w:r>
      <w:r w:rsidR="000C47F0" w:rsidRPr="000567BF">
        <w:t>s</w:t>
      </w:r>
      <w:r w:rsidRPr="000567BF">
        <w:t xml:space="preserve"> projects under it for better Budget Performance.</w:t>
      </w:r>
    </w:p>
    <w:p w14:paraId="6D3A6A27" w14:textId="04228E1E" w:rsidR="00710214" w:rsidRPr="0004484E" w:rsidRDefault="001904F6" w:rsidP="00710214">
      <w:pPr>
        <w:pStyle w:val="Caption"/>
        <w:rPr>
          <w:color w:val="000000" w:themeColor="text1"/>
        </w:rPr>
      </w:pPr>
      <w:bookmarkStart w:id="154" w:name="_Toc143179928"/>
      <w:r w:rsidRPr="00DA2F16">
        <w:rPr>
          <w:noProof/>
          <w:lang w:val="en-US" w:eastAsia="en-US"/>
        </w:rPr>
        <w:lastRenderedPageBreak/>
        <w:drawing>
          <wp:anchor distT="0" distB="0" distL="114300" distR="114300" simplePos="0" relativeHeight="251660288" behindDoc="0" locked="0" layoutInCell="1" allowOverlap="1" wp14:anchorId="2804FD7F" wp14:editId="5AB7AD9A">
            <wp:simplePos x="0" y="0"/>
            <wp:positionH relativeFrom="margin">
              <wp:posOffset>357505</wp:posOffset>
            </wp:positionH>
            <wp:positionV relativeFrom="paragraph">
              <wp:posOffset>274320</wp:posOffset>
            </wp:positionV>
            <wp:extent cx="5095240" cy="2512060"/>
            <wp:effectExtent l="0" t="0" r="0" b="2540"/>
            <wp:wrapSquare wrapText="bothSides"/>
            <wp:docPr id="786934881" name="Picture 78693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6137"/>
                    <a:stretch/>
                  </pic:blipFill>
                  <pic:spPr bwMode="auto">
                    <a:xfrm>
                      <a:off x="0" y="0"/>
                      <a:ext cx="5095240" cy="2512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214" w:rsidRPr="0004484E">
        <w:rPr>
          <w:color w:val="000000" w:themeColor="text1"/>
        </w:rPr>
        <w:t xml:space="preserve">Figure </w:t>
      </w:r>
      <w:r w:rsidR="00710214" w:rsidRPr="0004484E">
        <w:rPr>
          <w:color w:val="000000" w:themeColor="text1"/>
        </w:rPr>
        <w:fldChar w:fldCharType="begin"/>
      </w:r>
      <w:r w:rsidR="00710214" w:rsidRPr="0004484E">
        <w:rPr>
          <w:color w:val="000000" w:themeColor="text1"/>
        </w:rPr>
        <w:instrText xml:space="preserve"> SEQ Figure \* ARABIC </w:instrText>
      </w:r>
      <w:r w:rsidR="00710214" w:rsidRPr="0004484E">
        <w:rPr>
          <w:color w:val="000000" w:themeColor="text1"/>
        </w:rPr>
        <w:fldChar w:fldCharType="separate"/>
      </w:r>
      <w:r w:rsidR="00727B66">
        <w:rPr>
          <w:noProof/>
          <w:color w:val="000000" w:themeColor="text1"/>
        </w:rPr>
        <w:t>24</w:t>
      </w:r>
      <w:r w:rsidR="00710214" w:rsidRPr="0004484E">
        <w:rPr>
          <w:color w:val="000000" w:themeColor="text1"/>
        </w:rPr>
        <w:fldChar w:fldCharType="end"/>
      </w:r>
      <w:r w:rsidR="00710214" w:rsidRPr="0004484E">
        <w:rPr>
          <w:color w:val="000000" w:themeColor="text1"/>
        </w:rPr>
        <w:t xml:space="preserve">: Social Benefits Budget VS Actual 2017 - </w:t>
      </w:r>
      <w:commentRangeStart w:id="155"/>
      <w:r w:rsidR="00710214" w:rsidRPr="0004484E">
        <w:rPr>
          <w:color w:val="000000" w:themeColor="text1"/>
        </w:rPr>
        <w:t>2023</w:t>
      </w:r>
      <w:commentRangeEnd w:id="155"/>
      <w:r w:rsidR="00710214" w:rsidRPr="0004484E">
        <w:rPr>
          <w:rStyle w:val="CommentReference"/>
          <w:b w:val="0"/>
          <w:bCs w:val="0"/>
          <w:color w:val="000000" w:themeColor="text1"/>
        </w:rPr>
        <w:commentReference w:id="155"/>
      </w:r>
      <w:bookmarkEnd w:id="154"/>
    </w:p>
    <w:p w14:paraId="3352688C" w14:textId="5F6D64F0" w:rsidR="00710214" w:rsidRDefault="00710214" w:rsidP="001904F6">
      <w:pPr>
        <w:pStyle w:val="NumberedPara"/>
        <w:numPr>
          <w:ilvl w:val="0"/>
          <w:numId w:val="0"/>
        </w:numPr>
      </w:pPr>
    </w:p>
    <w:p w14:paraId="5EF3367E" w14:textId="5EAFD8C9" w:rsidR="001904F6" w:rsidRPr="009834EF" w:rsidRDefault="001904F6" w:rsidP="001904F6">
      <w:pPr>
        <w:pStyle w:val="NumberedPara"/>
        <w:numPr>
          <w:ilvl w:val="0"/>
          <w:numId w:val="0"/>
        </w:numPr>
        <w:ind w:left="426" w:hanging="426"/>
        <w:rPr>
          <w:i/>
          <w:iCs/>
          <w:sz w:val="16"/>
          <w:szCs w:val="16"/>
        </w:rPr>
      </w:pPr>
      <w:bookmarkStart w:id="156" w:name="_Hlk139450600"/>
      <w:r w:rsidRPr="00B76AD5">
        <w:rPr>
          <w:i/>
          <w:iCs/>
          <w:sz w:val="16"/>
          <w:szCs w:val="16"/>
        </w:rPr>
        <w:t xml:space="preserve">Source: </w:t>
      </w:r>
      <w:r>
        <w:rPr>
          <w:i/>
          <w:iCs/>
          <w:sz w:val="16"/>
          <w:szCs w:val="16"/>
        </w:rPr>
        <w:t xml:space="preserve">Kad 2024-2026 MTEF </w:t>
      </w:r>
    </w:p>
    <w:bookmarkEnd w:id="156"/>
    <w:p w14:paraId="497F6FA9" w14:textId="1FD09E2A" w:rsidR="00710214" w:rsidRDefault="00710214" w:rsidP="001904F6">
      <w:pPr>
        <w:pStyle w:val="NumberedPara"/>
        <w:numPr>
          <w:ilvl w:val="0"/>
          <w:numId w:val="0"/>
        </w:numPr>
        <w:ind w:left="1418"/>
      </w:pPr>
    </w:p>
    <w:p w14:paraId="691B2A7B" w14:textId="1DFF3A9C" w:rsidR="00710214" w:rsidRPr="000567BF" w:rsidRDefault="00710214" w:rsidP="001904F6">
      <w:pPr>
        <w:pStyle w:val="NumberedPara"/>
        <w:tabs>
          <w:tab w:val="clear" w:pos="2127"/>
          <w:tab w:val="num" w:pos="2410"/>
        </w:tabs>
        <w:ind w:left="567"/>
      </w:pPr>
      <w:r w:rsidRPr="00710214">
        <w:t xml:space="preserve">The immediate past administration commenced a </w:t>
      </w:r>
      <w:r w:rsidR="001A2FE4">
        <w:t>holistic</w:t>
      </w:r>
      <w:r w:rsidR="001A2FE4" w:rsidRPr="00710214">
        <w:t xml:space="preserve"> </w:t>
      </w:r>
      <w:r w:rsidRPr="00710214">
        <w:t>review of minimum pensions receivable by pensioneers under the Defined Benefits Scheme in the State. However, the exercise was not completed before the end of the administration’s tenure, but given the cost-of-living realities, it is very likely the new government will consider an upward review of pensions, and other programmes and activities that will mitigate the effect of social risks.</w:t>
      </w:r>
    </w:p>
    <w:p w14:paraId="7EC9520E" w14:textId="13E8588F" w:rsidR="00C96874" w:rsidRDefault="00C96874" w:rsidP="009200AD">
      <w:pPr>
        <w:pStyle w:val="StyleCaptionCentered"/>
        <w:ind w:left="426"/>
        <w:rPr>
          <w:noProof/>
        </w:rPr>
      </w:pPr>
      <w:bookmarkStart w:id="157" w:name="_Toc143179929"/>
      <w:bookmarkStart w:id="158" w:name="_Toc107777908"/>
      <w:r>
        <w:t xml:space="preserve">Figure </w:t>
      </w:r>
      <w:r>
        <w:fldChar w:fldCharType="begin"/>
      </w:r>
      <w:r>
        <w:instrText xml:space="preserve"> SEQ Figure \* ARABIC </w:instrText>
      </w:r>
      <w:r>
        <w:fldChar w:fldCharType="separate"/>
      </w:r>
      <w:r w:rsidR="00727B66">
        <w:rPr>
          <w:noProof/>
        </w:rPr>
        <w:t>25</w:t>
      </w:r>
      <w:r>
        <w:rPr>
          <w:noProof/>
        </w:rPr>
        <w:fldChar w:fldCharType="end"/>
      </w:r>
      <w:r>
        <w:t xml:space="preserve">: Capital Expenditure </w:t>
      </w:r>
      <w:commentRangeStart w:id="159"/>
      <w:r>
        <w:t>Ratio</w:t>
      </w:r>
      <w:commentRangeEnd w:id="159"/>
      <w:r w:rsidR="0041427E">
        <w:rPr>
          <w:rStyle w:val="CommentReference"/>
          <w:b w:val="0"/>
          <w:bCs w:val="0"/>
        </w:rPr>
        <w:commentReference w:id="159"/>
      </w:r>
      <w:bookmarkEnd w:id="157"/>
      <w:r w:rsidRPr="00465893">
        <w:t xml:space="preserve"> </w:t>
      </w:r>
      <w:bookmarkEnd w:id="158"/>
    </w:p>
    <w:p w14:paraId="656E92A3" w14:textId="7100B1A4" w:rsidR="00F03340" w:rsidRDefault="00D51A4E" w:rsidP="009200AD">
      <w:pPr>
        <w:pStyle w:val="StyleCaptionCentered"/>
        <w:ind w:left="426"/>
      </w:pPr>
      <w:r w:rsidRPr="00D51A4E">
        <w:rPr>
          <w:noProof/>
          <w:lang w:val="en-US" w:eastAsia="en-US"/>
        </w:rPr>
        <w:drawing>
          <wp:inline distT="0" distB="0" distL="0" distR="0" wp14:anchorId="76CD4A6B" wp14:editId="2DEB28C6">
            <wp:extent cx="5504815" cy="2822216"/>
            <wp:effectExtent l="0" t="0" r="635" b="0"/>
            <wp:docPr id="149322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6826"/>
                    <a:stretch/>
                  </pic:blipFill>
                  <pic:spPr bwMode="auto">
                    <a:xfrm>
                      <a:off x="0" y="0"/>
                      <a:ext cx="5504815" cy="2822216"/>
                    </a:xfrm>
                    <a:prstGeom prst="rect">
                      <a:avLst/>
                    </a:prstGeom>
                    <a:noFill/>
                    <a:ln>
                      <a:noFill/>
                    </a:ln>
                    <a:extLst>
                      <a:ext uri="{53640926-AAD7-44D8-BBD7-CCE9431645EC}">
                        <a14:shadowObscured xmlns:a14="http://schemas.microsoft.com/office/drawing/2010/main"/>
                      </a:ext>
                    </a:extLst>
                  </pic:spPr>
                </pic:pic>
              </a:graphicData>
            </a:graphic>
          </wp:inline>
        </w:drawing>
      </w:r>
    </w:p>
    <w:p w14:paraId="6DE11242" w14:textId="77777777" w:rsidR="001904F6" w:rsidRPr="009834EF" w:rsidRDefault="001904F6" w:rsidP="001904F6">
      <w:pPr>
        <w:pStyle w:val="NumberedPara"/>
        <w:numPr>
          <w:ilvl w:val="0"/>
          <w:numId w:val="0"/>
        </w:numPr>
        <w:ind w:left="426" w:hanging="426"/>
        <w:rPr>
          <w:i/>
          <w:iCs/>
          <w:sz w:val="16"/>
          <w:szCs w:val="16"/>
        </w:rPr>
      </w:pPr>
      <w:r w:rsidRPr="00B76AD5">
        <w:rPr>
          <w:i/>
          <w:iCs/>
          <w:sz w:val="16"/>
          <w:szCs w:val="16"/>
        </w:rPr>
        <w:t xml:space="preserve">Source: </w:t>
      </w:r>
      <w:r>
        <w:rPr>
          <w:i/>
          <w:iCs/>
          <w:sz w:val="16"/>
          <w:szCs w:val="16"/>
        </w:rPr>
        <w:t xml:space="preserve">Kad 2024-2026 MTEF </w:t>
      </w:r>
    </w:p>
    <w:p w14:paraId="307DE273" w14:textId="202A2AC4" w:rsidR="0008193C" w:rsidRPr="000567BF" w:rsidRDefault="0008193C" w:rsidP="001904F6">
      <w:pPr>
        <w:pStyle w:val="NumberedPara"/>
        <w:tabs>
          <w:tab w:val="clear" w:pos="2127"/>
          <w:tab w:val="num" w:pos="2552"/>
        </w:tabs>
        <w:ind w:left="567"/>
      </w:pPr>
      <w:r w:rsidRPr="000567BF">
        <w:t>Political considerations negatively affected budget realism in 2017, 2018 and 2019. The 60:40 Budget ratio is being adhered to during budget allocation; however, this is not the case in terms of actual expenditure except in 2016 whe</w:t>
      </w:r>
      <w:r w:rsidR="000C47F0" w:rsidRPr="000567BF">
        <w:t>n</w:t>
      </w:r>
      <w:r w:rsidRPr="000567BF">
        <w:t xml:space="preserve"> both budgeted and actuals reflected the 60:40 ratio. </w:t>
      </w:r>
    </w:p>
    <w:p w14:paraId="0658DCEA" w14:textId="137AB191" w:rsidR="00C96874" w:rsidRPr="000567BF" w:rsidRDefault="0008193C" w:rsidP="001904F6">
      <w:pPr>
        <w:pStyle w:val="NumberedPara"/>
        <w:tabs>
          <w:tab w:val="clear" w:pos="2127"/>
          <w:tab w:val="num" w:pos="2552"/>
        </w:tabs>
        <w:ind w:left="567"/>
      </w:pPr>
      <w:r w:rsidRPr="000567BF">
        <w:t>In 2019 the State accessed the first tranche of the World Bank P</w:t>
      </w:r>
      <w:r w:rsidR="005C7FF8" w:rsidRPr="000567BF">
        <w:t>for</w:t>
      </w:r>
      <w:r w:rsidRPr="000567BF">
        <w:t>R Loan, this</w:t>
      </w:r>
      <w:r w:rsidR="00AF27AE" w:rsidRPr="000567BF">
        <w:t xml:space="preserve"> </w:t>
      </w:r>
      <w:r w:rsidRPr="000567BF">
        <w:t>significantly increase capital expenditure as 80% of the funds are allocated to capital. This trend is expected to continue through to 2021. This means Capital expenditure performance will be at a minimum of 60% in 202</w:t>
      </w:r>
      <w:r w:rsidR="00AF27AE" w:rsidRPr="000567BF">
        <w:t>1</w:t>
      </w:r>
      <w:r w:rsidRPr="000567BF">
        <w:t xml:space="preserve"> and 202</w:t>
      </w:r>
      <w:r w:rsidR="00AF27AE" w:rsidRPr="000567BF">
        <w:t>2</w:t>
      </w:r>
      <w:r w:rsidRPr="000567BF">
        <w:t>. There is a risk of reversing this trend in 202</w:t>
      </w:r>
      <w:r w:rsidR="00AF27AE" w:rsidRPr="000567BF">
        <w:t>3</w:t>
      </w:r>
      <w:r w:rsidRPr="000567BF">
        <w:t xml:space="preserve"> when the P4R loan is exhausted</w:t>
      </w:r>
      <w:r w:rsidR="0087609B" w:rsidRPr="000567BF">
        <w:t>.</w:t>
      </w:r>
      <w:r w:rsidR="00A96F89" w:rsidRPr="000567BF">
        <w:t xml:space="preserve"> </w:t>
      </w:r>
    </w:p>
    <w:p w14:paraId="1A1FBECC" w14:textId="32261D44" w:rsidR="00C96874" w:rsidRDefault="00C96874" w:rsidP="00C96874">
      <w:pPr>
        <w:pStyle w:val="Caption"/>
      </w:pPr>
      <w:bookmarkStart w:id="160" w:name="_Toc107777909"/>
      <w:bookmarkStart w:id="161" w:name="_Toc143179930"/>
      <w:r>
        <w:lastRenderedPageBreak/>
        <w:t xml:space="preserve">Figure </w:t>
      </w:r>
      <w:r>
        <w:fldChar w:fldCharType="begin"/>
      </w:r>
      <w:r>
        <w:instrText xml:space="preserve"> SEQ Figure \* ARABIC </w:instrText>
      </w:r>
      <w:r>
        <w:fldChar w:fldCharType="separate"/>
      </w:r>
      <w:r w:rsidR="00727B66">
        <w:rPr>
          <w:noProof/>
        </w:rPr>
        <w:t>26</w:t>
      </w:r>
      <w:r>
        <w:rPr>
          <w:noProof/>
        </w:rPr>
        <w:fldChar w:fldCharType="end"/>
      </w:r>
      <w:r w:rsidRPr="000E5ECA">
        <w:t xml:space="preserve"> </w:t>
      </w:r>
      <w:r w:rsidR="00C80CDF">
        <w:t>Fiscal Performance</w:t>
      </w:r>
      <w:r>
        <w:t xml:space="preserve"> Summary of </w:t>
      </w:r>
      <w:commentRangeStart w:id="162"/>
      <w:r>
        <w:t>Expenditure</w:t>
      </w:r>
      <w:bookmarkEnd w:id="160"/>
      <w:commentRangeEnd w:id="162"/>
      <w:r w:rsidR="0041427E">
        <w:rPr>
          <w:rStyle w:val="CommentReference"/>
          <w:b w:val="0"/>
          <w:bCs w:val="0"/>
        </w:rPr>
        <w:commentReference w:id="162"/>
      </w:r>
      <w:bookmarkEnd w:id="161"/>
      <w:r>
        <w:t xml:space="preserve"> </w:t>
      </w:r>
    </w:p>
    <w:p w14:paraId="4EE75E04" w14:textId="7A56CE7E" w:rsidR="00C96874" w:rsidRDefault="008B7F95" w:rsidP="00D86518">
      <w:pPr>
        <w:pStyle w:val="NumberedPara"/>
        <w:numPr>
          <w:ilvl w:val="0"/>
          <w:numId w:val="0"/>
        </w:numPr>
        <w:ind w:left="426"/>
      </w:pPr>
      <w:r w:rsidRPr="008B7F95">
        <w:rPr>
          <w:noProof/>
        </w:rPr>
        <w:drawing>
          <wp:inline distT="0" distB="0" distL="0" distR="0" wp14:anchorId="51204D17" wp14:editId="71108154">
            <wp:extent cx="5504815" cy="2889885"/>
            <wp:effectExtent l="0" t="0" r="635" b="5715"/>
            <wp:docPr id="18478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04815" cy="2889885"/>
                    </a:xfrm>
                    <a:prstGeom prst="rect">
                      <a:avLst/>
                    </a:prstGeom>
                    <a:noFill/>
                    <a:ln>
                      <a:noFill/>
                    </a:ln>
                  </pic:spPr>
                </pic:pic>
              </a:graphicData>
            </a:graphic>
          </wp:inline>
        </w:drawing>
      </w:r>
    </w:p>
    <w:p w14:paraId="332D60B3" w14:textId="7CD7C3B7" w:rsidR="001904F6" w:rsidRPr="007B6BF3" w:rsidRDefault="001904F6" w:rsidP="007B6BF3">
      <w:pPr>
        <w:pStyle w:val="NumberedPara"/>
        <w:numPr>
          <w:ilvl w:val="0"/>
          <w:numId w:val="0"/>
        </w:numPr>
        <w:ind w:left="426" w:hanging="426"/>
        <w:rPr>
          <w:i/>
          <w:iCs/>
          <w:sz w:val="16"/>
          <w:szCs w:val="16"/>
        </w:rPr>
      </w:pPr>
      <w:r w:rsidRPr="00B76AD5">
        <w:rPr>
          <w:i/>
          <w:iCs/>
          <w:sz w:val="16"/>
          <w:szCs w:val="16"/>
        </w:rPr>
        <w:t xml:space="preserve">Source: </w:t>
      </w:r>
      <w:r w:rsidR="007B6BF3">
        <w:rPr>
          <w:i/>
          <w:iCs/>
          <w:sz w:val="16"/>
          <w:szCs w:val="16"/>
        </w:rPr>
        <w:t>Kad Financial Statements 2017-2022</w:t>
      </w:r>
    </w:p>
    <w:p w14:paraId="2CCC8653" w14:textId="3EBB363F" w:rsidR="009D1E84" w:rsidRPr="000567BF" w:rsidRDefault="009D1E84" w:rsidP="001904F6">
      <w:pPr>
        <w:pStyle w:val="NumberedPara"/>
        <w:tabs>
          <w:tab w:val="clear" w:pos="2127"/>
        </w:tabs>
        <w:ind w:left="567"/>
      </w:pPr>
      <w:r w:rsidRPr="000567BF">
        <w:t xml:space="preserve">Kaduna State has recorded an overperformance of 139.88% in 2019 mainly due to stable revenue sources. Crude Oil Prices was stable in 2019 averaging $66 per barrel, other non-mineral revenue such as CIT, C&amp;E and VAT were all </w:t>
      </w:r>
      <w:r w:rsidR="000C47F0" w:rsidRPr="000567BF">
        <w:t>o</w:t>
      </w:r>
      <w:r w:rsidRPr="000567BF">
        <w:t xml:space="preserve">n the increase. An over </w:t>
      </w:r>
      <w:r w:rsidR="00AF27AE" w:rsidRPr="000567BF">
        <w:t>performance</w:t>
      </w:r>
      <w:r w:rsidRPr="000567BF">
        <w:t xml:space="preserve"> of IGR (the State budgeted N41.72 billion but realised N44.9 billion in 2019) and the PforR </w:t>
      </w:r>
      <w:r w:rsidR="000C47F0" w:rsidRPr="000567BF">
        <w:t>World</w:t>
      </w:r>
      <w:r w:rsidRPr="000567BF">
        <w:t xml:space="preserve"> Bank Loan Funds which were not part of the 2019 budget but was approved around July 2019. All </w:t>
      </w:r>
      <w:r w:rsidR="00CE5311" w:rsidRPr="000567BF">
        <w:t xml:space="preserve">of </w:t>
      </w:r>
      <w:r w:rsidRPr="000567BF">
        <w:t>these led to an overperformance in 2019. Capital Budget recorded an actual</w:t>
      </w:r>
      <w:r w:rsidR="00CE5311" w:rsidRPr="000567BF">
        <w:t xml:space="preserve"> budget</w:t>
      </w:r>
      <w:r w:rsidRPr="000567BF">
        <w:t xml:space="preserve"> of N148.6 billion in 2019 the highest in recent years.</w:t>
      </w:r>
    </w:p>
    <w:p w14:paraId="128ECFF6" w14:textId="426899B7" w:rsidR="00AF27AE" w:rsidRPr="000567BF" w:rsidRDefault="00AF27AE" w:rsidP="001904F6">
      <w:pPr>
        <w:pStyle w:val="NumberedPara"/>
        <w:tabs>
          <w:tab w:val="clear" w:pos="2127"/>
        </w:tabs>
        <w:ind w:left="567"/>
      </w:pPr>
      <w:r w:rsidRPr="000567BF">
        <w:t>2020</w:t>
      </w:r>
      <w:r w:rsidR="000B0CE7">
        <w:t xml:space="preserve"> - </w:t>
      </w:r>
      <w:r w:rsidR="000567BF">
        <w:t>202</w:t>
      </w:r>
      <w:r w:rsidR="000B0CE7">
        <w:t>2</w:t>
      </w:r>
      <w:r w:rsidRPr="000567BF">
        <w:t xml:space="preserve"> also</w:t>
      </w:r>
      <w:r w:rsidR="00CE5311" w:rsidRPr="000567BF">
        <w:t xml:space="preserve"> recorded</w:t>
      </w:r>
      <w:r w:rsidRPr="000567BF">
        <w:t xml:space="preserve"> a very good performance of the budget recording </w:t>
      </w:r>
      <w:r w:rsidR="00CE5311" w:rsidRPr="000567BF">
        <w:t>97.87</w:t>
      </w:r>
      <w:r w:rsidRPr="000567BF">
        <w:t>%</w:t>
      </w:r>
      <w:r w:rsidR="000567BF">
        <w:t>, 93.52%</w:t>
      </w:r>
      <w:r w:rsidRPr="000567BF">
        <w:t xml:space="preserve"> overall performance</w:t>
      </w:r>
      <w:r w:rsidR="000567BF">
        <w:t>, respectively</w:t>
      </w:r>
      <w:r w:rsidRPr="000567BF">
        <w:t xml:space="preserve">. The PforR Loan and over performance of IGR in 2020 which the State recorded N50.1 billion all contributed to the excellent performance of the 2020 budget. </w:t>
      </w:r>
    </w:p>
    <w:p w14:paraId="1D0EAB5A" w14:textId="078FA57E" w:rsidR="00C96874" w:rsidRDefault="00C96874" w:rsidP="001904F6">
      <w:pPr>
        <w:pStyle w:val="Heading3"/>
      </w:pPr>
      <w:bookmarkStart w:id="163" w:name="_Toc143179797"/>
      <w:r>
        <w:t>By Sector</w:t>
      </w:r>
      <w:bookmarkEnd w:id="163"/>
      <w:r>
        <w:t xml:space="preserve"> </w:t>
      </w:r>
    </w:p>
    <w:p w14:paraId="56D064C0" w14:textId="64FACEA2" w:rsidR="00C96874" w:rsidRPr="000567BF" w:rsidRDefault="00CE5311" w:rsidP="001904F6">
      <w:pPr>
        <w:pStyle w:val="NumberedPara"/>
        <w:tabs>
          <w:tab w:val="clear" w:pos="2127"/>
        </w:tabs>
        <w:ind w:left="567"/>
      </w:pPr>
      <w:r w:rsidRPr="000567BF">
        <w:t>The b</w:t>
      </w:r>
      <w:r w:rsidR="00C96874" w:rsidRPr="000567BF">
        <w:t>udget and actual expenditure of the sectors and sub-sectors in terms of personnel, overhead and capital expenditure are presented in Tables 6. The sub-sectors can be further categorized into the major sectors of Governance, Social, Economic and Law and Justice</w:t>
      </w:r>
      <w:r w:rsidR="0087609B" w:rsidRPr="000567BF">
        <w:t>.</w:t>
      </w:r>
    </w:p>
    <w:p w14:paraId="13B5F76A" w14:textId="77777777" w:rsidR="00C96874" w:rsidRPr="00C3667E" w:rsidRDefault="00C96874" w:rsidP="00C96874"/>
    <w:p w14:paraId="46E152EE" w14:textId="77777777" w:rsidR="00C96874" w:rsidRDefault="00C96874" w:rsidP="00C96874">
      <w:pPr>
        <w:pStyle w:val="NumberedPara"/>
        <w:numPr>
          <w:ilvl w:val="0"/>
          <w:numId w:val="0"/>
        </w:numPr>
        <w:ind w:left="720"/>
        <w:sectPr w:rsidR="00C96874" w:rsidSect="004F57E5">
          <w:headerReference w:type="even" r:id="rId50"/>
          <w:headerReference w:type="default" r:id="rId51"/>
          <w:footerReference w:type="default" r:id="rId52"/>
          <w:headerReference w:type="first" r:id="rId53"/>
          <w:pgSz w:w="11906" w:h="16838" w:code="9"/>
          <w:pgMar w:top="1440" w:right="1797" w:bottom="851" w:left="1440" w:header="709" w:footer="482" w:gutter="0"/>
          <w:pgNumType w:start="1"/>
          <w:cols w:space="708"/>
          <w:docGrid w:linePitch="360"/>
        </w:sectPr>
      </w:pPr>
    </w:p>
    <w:p w14:paraId="4D3761DB" w14:textId="7A303E6B" w:rsidR="00C96874" w:rsidRDefault="00C96874" w:rsidP="00C96874">
      <w:pPr>
        <w:pStyle w:val="Caption"/>
      </w:pPr>
      <w:bookmarkStart w:id="164" w:name="_Toc72918051"/>
      <w:bookmarkStart w:id="165" w:name="_Toc106568668"/>
      <w:bookmarkStart w:id="166" w:name="_Toc143179943"/>
      <w:r>
        <w:lastRenderedPageBreak/>
        <w:t xml:space="preserve">Table </w:t>
      </w:r>
      <w:r>
        <w:fldChar w:fldCharType="begin"/>
      </w:r>
      <w:r>
        <w:instrText xml:space="preserve"> SEQ Table \* ARABIC </w:instrText>
      </w:r>
      <w:r>
        <w:fldChar w:fldCharType="separate"/>
      </w:r>
      <w:r w:rsidR="00727B66">
        <w:rPr>
          <w:noProof/>
        </w:rPr>
        <w:t>6</w:t>
      </w:r>
      <w:r>
        <w:rPr>
          <w:noProof/>
        </w:rPr>
        <w:fldChar w:fldCharType="end"/>
      </w:r>
      <w:r>
        <w:t>: Personnel Expenditure by Sector</w:t>
      </w:r>
      <w:bookmarkEnd w:id="164"/>
      <w:bookmarkEnd w:id="165"/>
      <w:bookmarkEnd w:id="166"/>
    </w:p>
    <w:p w14:paraId="444E8458" w14:textId="39623555" w:rsidR="00A60643" w:rsidRPr="00A60643" w:rsidRDefault="00DA2F16" w:rsidP="00A60643">
      <w:r w:rsidRPr="00DA2F16">
        <w:rPr>
          <w:noProof/>
          <w:lang w:val="en-US" w:eastAsia="en-US"/>
        </w:rPr>
        <w:drawing>
          <wp:inline distT="0" distB="0" distL="0" distR="0" wp14:anchorId="284852D8" wp14:editId="3BA0EAC2">
            <wp:extent cx="8978900" cy="2508250"/>
            <wp:effectExtent l="0" t="0" r="0" b="6350"/>
            <wp:docPr id="11891496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978900" cy="2508250"/>
                    </a:xfrm>
                    <a:prstGeom prst="rect">
                      <a:avLst/>
                    </a:prstGeom>
                    <a:noFill/>
                    <a:ln>
                      <a:noFill/>
                    </a:ln>
                  </pic:spPr>
                </pic:pic>
              </a:graphicData>
            </a:graphic>
          </wp:inline>
        </w:drawing>
      </w:r>
    </w:p>
    <w:p w14:paraId="254CD5CC" w14:textId="63E957C5" w:rsidR="00C96874" w:rsidRDefault="00C96874" w:rsidP="00E21E85">
      <w:pPr>
        <w:jc w:val="center"/>
      </w:pPr>
      <w:bookmarkStart w:id="167" w:name="_Toc106568669"/>
      <w:bookmarkStart w:id="168" w:name="_Toc72918052"/>
      <w:bookmarkStart w:id="169" w:name="_Toc143179944"/>
      <w:r w:rsidRPr="00EC6AD3">
        <w:rPr>
          <w:b/>
        </w:rPr>
        <w:t xml:space="preserve">Table </w:t>
      </w:r>
      <w:r w:rsidRPr="00EC6AD3">
        <w:rPr>
          <w:b/>
        </w:rPr>
        <w:fldChar w:fldCharType="begin"/>
      </w:r>
      <w:r w:rsidRPr="00EC6AD3">
        <w:rPr>
          <w:b/>
        </w:rPr>
        <w:instrText xml:space="preserve"> SEQ Table \* ARABIC </w:instrText>
      </w:r>
      <w:r w:rsidRPr="00EC6AD3">
        <w:rPr>
          <w:b/>
        </w:rPr>
        <w:fldChar w:fldCharType="separate"/>
      </w:r>
      <w:r w:rsidR="00727B66">
        <w:rPr>
          <w:b/>
          <w:noProof/>
        </w:rPr>
        <w:t>7</w:t>
      </w:r>
      <w:r w:rsidRPr="00EC6AD3">
        <w:rPr>
          <w:b/>
          <w:noProof/>
        </w:rPr>
        <w:fldChar w:fldCharType="end"/>
      </w:r>
      <w:r w:rsidRPr="00EC6AD3">
        <w:rPr>
          <w:b/>
        </w:rPr>
        <w:t>: Overhead Expenditure by Sector</w:t>
      </w:r>
      <w:bookmarkEnd w:id="167"/>
      <w:bookmarkEnd w:id="168"/>
      <w:bookmarkEnd w:id="169"/>
      <w:r>
        <w:t xml:space="preserve"> </w:t>
      </w:r>
    </w:p>
    <w:p w14:paraId="0FB2B008" w14:textId="6BFA8979" w:rsidR="00C96874" w:rsidRDefault="00DA2F16" w:rsidP="00C96874">
      <w:r w:rsidRPr="00DA2F16">
        <w:rPr>
          <w:noProof/>
          <w:lang w:val="en-US" w:eastAsia="en-US"/>
        </w:rPr>
        <w:drawing>
          <wp:inline distT="0" distB="0" distL="0" distR="0" wp14:anchorId="4BA49E83" wp14:editId="011F6955">
            <wp:extent cx="8978900" cy="2717800"/>
            <wp:effectExtent l="0" t="0" r="0" b="6350"/>
            <wp:docPr id="16592741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78900" cy="2717800"/>
                    </a:xfrm>
                    <a:prstGeom prst="rect">
                      <a:avLst/>
                    </a:prstGeom>
                    <a:noFill/>
                    <a:ln>
                      <a:noFill/>
                    </a:ln>
                  </pic:spPr>
                </pic:pic>
              </a:graphicData>
            </a:graphic>
          </wp:inline>
        </w:drawing>
      </w:r>
    </w:p>
    <w:p w14:paraId="094EB29E" w14:textId="4E2C77DD" w:rsidR="00402014" w:rsidRDefault="00402014" w:rsidP="00C96874"/>
    <w:p w14:paraId="7D20FC88" w14:textId="36164D12" w:rsidR="00402014" w:rsidRDefault="00C96874" w:rsidP="00FA7736">
      <w:pPr>
        <w:pStyle w:val="Caption"/>
      </w:pPr>
      <w:bookmarkStart w:id="170" w:name="_Toc72918053"/>
      <w:bookmarkStart w:id="171" w:name="_Toc106568670"/>
      <w:bookmarkStart w:id="172" w:name="_Toc143179945"/>
      <w:r>
        <w:t xml:space="preserve">Table </w:t>
      </w:r>
      <w:r>
        <w:fldChar w:fldCharType="begin"/>
      </w:r>
      <w:r>
        <w:instrText xml:space="preserve"> SEQ Table \* ARABIC </w:instrText>
      </w:r>
      <w:r>
        <w:fldChar w:fldCharType="separate"/>
      </w:r>
      <w:r w:rsidR="00727B66">
        <w:rPr>
          <w:noProof/>
        </w:rPr>
        <w:t>8</w:t>
      </w:r>
      <w:r>
        <w:rPr>
          <w:noProof/>
        </w:rPr>
        <w:fldChar w:fldCharType="end"/>
      </w:r>
      <w:r>
        <w:t>: Capital Expenditure by Sector</w:t>
      </w:r>
      <w:bookmarkEnd w:id="170"/>
      <w:bookmarkEnd w:id="171"/>
      <w:bookmarkEnd w:id="172"/>
    </w:p>
    <w:p w14:paraId="5A2BE1DD" w14:textId="14900D85" w:rsidR="00FA7736" w:rsidRDefault="00DA2F16" w:rsidP="00FA7736">
      <w:r w:rsidRPr="00DA2F16">
        <w:rPr>
          <w:noProof/>
          <w:lang w:val="en-US" w:eastAsia="en-US"/>
        </w:rPr>
        <w:drawing>
          <wp:inline distT="0" distB="0" distL="0" distR="0" wp14:anchorId="1AEECA90" wp14:editId="04D8583D">
            <wp:extent cx="8978900" cy="2421890"/>
            <wp:effectExtent l="0" t="0" r="0" b="0"/>
            <wp:docPr id="12427967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78900" cy="2421890"/>
                    </a:xfrm>
                    <a:prstGeom prst="rect">
                      <a:avLst/>
                    </a:prstGeom>
                    <a:noFill/>
                    <a:ln>
                      <a:noFill/>
                    </a:ln>
                  </pic:spPr>
                </pic:pic>
              </a:graphicData>
            </a:graphic>
          </wp:inline>
        </w:drawing>
      </w:r>
    </w:p>
    <w:p w14:paraId="5C7910B3" w14:textId="42ABE128" w:rsidR="00402595" w:rsidRDefault="00402595" w:rsidP="00FA7736"/>
    <w:p w14:paraId="0CA834E0" w14:textId="742A571B" w:rsidR="00402595" w:rsidRPr="00FA7736" w:rsidRDefault="00402595" w:rsidP="00FA7736">
      <w:pPr>
        <w:sectPr w:rsidR="00402595" w:rsidRPr="00FA7736" w:rsidSect="004F57E5">
          <w:pgSz w:w="16838" w:h="11906" w:orient="landscape" w:code="9"/>
          <w:pgMar w:top="1440" w:right="1440" w:bottom="1135" w:left="1258" w:header="709" w:footer="655" w:gutter="0"/>
          <w:cols w:space="708"/>
          <w:docGrid w:linePitch="360"/>
        </w:sectPr>
      </w:pPr>
    </w:p>
    <w:p w14:paraId="2C012614" w14:textId="77777777" w:rsidR="00C96874" w:rsidRDefault="00C96874" w:rsidP="00C96874">
      <w:pPr>
        <w:pStyle w:val="Heading3"/>
      </w:pPr>
      <w:bookmarkStart w:id="173" w:name="_Toc340053644"/>
      <w:bookmarkStart w:id="174" w:name="_Toc106568631"/>
      <w:bookmarkStart w:id="175" w:name="_Toc143179798"/>
      <w:r>
        <w:lastRenderedPageBreak/>
        <w:t xml:space="preserve">Debt </w:t>
      </w:r>
      <w:r w:rsidRPr="005F050E">
        <w:t>Position</w:t>
      </w:r>
      <w:bookmarkEnd w:id="173"/>
      <w:bookmarkEnd w:id="174"/>
      <w:bookmarkEnd w:id="175"/>
    </w:p>
    <w:p w14:paraId="431EA9A7" w14:textId="77777777" w:rsidR="00C96874" w:rsidRPr="00A735A4" w:rsidRDefault="00C96874" w:rsidP="001904F6">
      <w:pPr>
        <w:pStyle w:val="NumberedPara"/>
        <w:tabs>
          <w:tab w:val="clear" w:pos="2127"/>
          <w:tab w:val="num" w:pos="2835"/>
        </w:tabs>
        <w:ind w:left="567"/>
      </w:pPr>
      <w:r>
        <w:t>A summary of the consolidated debt position for Kaduna State Government is provided in the table below.</w:t>
      </w:r>
    </w:p>
    <w:p w14:paraId="0A5F4416" w14:textId="6D553B83" w:rsidR="00C96874" w:rsidRDefault="00C96874" w:rsidP="00C96874">
      <w:pPr>
        <w:pStyle w:val="StyleCaptionCentered"/>
      </w:pPr>
      <w:bookmarkStart w:id="176" w:name="_Toc72918054"/>
      <w:bookmarkStart w:id="177" w:name="_Toc106568671"/>
      <w:bookmarkStart w:id="178" w:name="_Toc143179946"/>
      <w:r>
        <w:t xml:space="preserve">Table </w:t>
      </w:r>
      <w:r>
        <w:fldChar w:fldCharType="begin"/>
      </w:r>
      <w:r>
        <w:instrText xml:space="preserve"> SEQ Table \* ARABIC </w:instrText>
      </w:r>
      <w:r>
        <w:fldChar w:fldCharType="separate"/>
      </w:r>
      <w:r w:rsidR="00727B66">
        <w:rPr>
          <w:noProof/>
        </w:rPr>
        <w:t>9</w:t>
      </w:r>
      <w:r>
        <w:rPr>
          <w:noProof/>
        </w:rPr>
        <w:fldChar w:fldCharType="end"/>
      </w:r>
      <w:r>
        <w:t xml:space="preserve">: Debt Position as </w:t>
      </w:r>
      <w:r w:rsidR="00133FBF">
        <w:t>of</w:t>
      </w:r>
      <w:r>
        <w:t xml:space="preserve"> 31</w:t>
      </w:r>
      <w:r w:rsidRPr="009E6369">
        <w:rPr>
          <w:vertAlign w:val="superscript"/>
        </w:rPr>
        <w:t>st</w:t>
      </w:r>
      <w:r>
        <w:t xml:space="preserve"> </w:t>
      </w:r>
      <w:r w:rsidRPr="00E344F8">
        <w:t>December 20</w:t>
      </w:r>
      <w:bookmarkEnd w:id="176"/>
      <w:r w:rsidR="004E64BA">
        <w:t>2</w:t>
      </w:r>
      <w:bookmarkEnd w:id="177"/>
      <w:r w:rsidR="00CA59BA">
        <w:t>2</w:t>
      </w:r>
      <w:bookmarkEnd w:id="178"/>
    </w:p>
    <w:p w14:paraId="03C3C05C" w14:textId="42CCD2F0" w:rsidR="00C96874" w:rsidRDefault="004F2923" w:rsidP="00C96874">
      <w:pPr>
        <w:pStyle w:val="StyleCaptionCentered"/>
        <w:ind w:firstLine="284"/>
      </w:pPr>
      <w:r w:rsidRPr="004F2923">
        <w:rPr>
          <w:noProof/>
          <w:lang w:val="en-US" w:eastAsia="en-US"/>
        </w:rPr>
        <w:drawing>
          <wp:inline distT="0" distB="0" distL="0" distR="0" wp14:anchorId="6646A75D" wp14:editId="6DB2787B">
            <wp:extent cx="5504815" cy="3140710"/>
            <wp:effectExtent l="0" t="0" r="635" b="2540"/>
            <wp:docPr id="84371828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04815" cy="3140710"/>
                    </a:xfrm>
                    <a:prstGeom prst="rect">
                      <a:avLst/>
                    </a:prstGeom>
                    <a:noFill/>
                    <a:ln>
                      <a:noFill/>
                    </a:ln>
                  </pic:spPr>
                </pic:pic>
              </a:graphicData>
            </a:graphic>
          </wp:inline>
        </w:drawing>
      </w:r>
    </w:p>
    <w:p w14:paraId="07B73E06" w14:textId="224D4056" w:rsidR="00C96874" w:rsidRDefault="00C96874" w:rsidP="001904F6">
      <w:pPr>
        <w:pStyle w:val="NumberedPara"/>
        <w:tabs>
          <w:tab w:val="clear" w:pos="2127"/>
          <w:tab w:val="num" w:pos="2552"/>
        </w:tabs>
        <w:ind w:left="567"/>
      </w:pPr>
      <w:r w:rsidRPr="00E344F8">
        <w:rPr>
          <w:b/>
        </w:rPr>
        <w:t>External Loans:</w:t>
      </w:r>
      <w:r>
        <w:t xml:space="preserve"> </w:t>
      </w:r>
      <w:r w:rsidR="00026C80">
        <w:t>External Loans are loans sourced from multinational institutions such as the World Bank, International Monetary Fund (IMF), Islamic Development Bank (</w:t>
      </w:r>
      <w:proofErr w:type="spellStart"/>
      <w:r w:rsidR="00026C80">
        <w:t>IsDB</w:t>
      </w:r>
      <w:proofErr w:type="spellEnd"/>
      <w:r w:rsidR="00026C80">
        <w:t xml:space="preserve">), African Development Bank (AfDB) etc. The Federal </w:t>
      </w:r>
      <w:r w:rsidR="00176257">
        <w:t>Ministry</w:t>
      </w:r>
      <w:r w:rsidR="00026C80">
        <w:t xml:space="preserve"> of Finance, Budget and National Planning obtain these loans and lends them to State Government through the Subsidiary Loan Agreement. </w:t>
      </w:r>
    </w:p>
    <w:p w14:paraId="1BD3334A" w14:textId="006885F9" w:rsidR="00C96874" w:rsidRPr="007F6C92" w:rsidRDefault="00C96874" w:rsidP="001904F6">
      <w:pPr>
        <w:pStyle w:val="NumberedPara"/>
        <w:tabs>
          <w:tab w:val="clear" w:pos="2127"/>
          <w:tab w:val="num" w:pos="2552"/>
        </w:tabs>
        <w:ind w:left="567"/>
      </w:pPr>
      <w:r w:rsidRPr="006F2452">
        <w:rPr>
          <w:b/>
        </w:rPr>
        <w:t>Internal Loa</w:t>
      </w:r>
      <w:r w:rsidRPr="00D15009">
        <w:rPr>
          <w:b/>
        </w:rPr>
        <w:t>ns:</w:t>
      </w:r>
      <w:r>
        <w:t xml:space="preserve"> </w:t>
      </w:r>
      <w:r w:rsidR="00026C80">
        <w:t xml:space="preserve">These are loans obtained from within the Country and consist of Commercial Bank Loans, Budget Support Loan Facility, Salary Bailouts, Loans from Federal Government, Central Bank of Nigeria (CBN) etc. As </w:t>
      </w:r>
      <w:r w:rsidR="00554A95">
        <w:t>of</w:t>
      </w:r>
      <w:r w:rsidR="00026C80">
        <w:t xml:space="preserve"> </w:t>
      </w:r>
      <w:r w:rsidR="00554A95">
        <w:t>December 2020,</w:t>
      </w:r>
      <w:r w:rsidR="00176257">
        <w:t xml:space="preserve"> the State has a total of </w:t>
      </w:r>
      <w:r w:rsidR="00176257" w:rsidRPr="00176257">
        <w:rPr>
          <w:dstrike/>
        </w:rPr>
        <w:t>N</w:t>
      </w:r>
      <w:r w:rsidR="0041791D">
        <w:t>61.7</w:t>
      </w:r>
      <w:r w:rsidR="00176257">
        <w:t xml:space="preserve"> billion. </w:t>
      </w:r>
    </w:p>
    <w:p w14:paraId="10635FD3" w14:textId="32DFC20A" w:rsidR="00C96874" w:rsidRDefault="00C96874" w:rsidP="001904F6">
      <w:pPr>
        <w:pStyle w:val="NumberedPara"/>
        <w:tabs>
          <w:tab w:val="clear" w:pos="2127"/>
          <w:tab w:val="num" w:pos="2552"/>
        </w:tabs>
        <w:ind w:left="567"/>
      </w:pPr>
      <w:r w:rsidRPr="006F2452">
        <w:rPr>
          <w:b/>
        </w:rPr>
        <w:t>Solvency:</w:t>
      </w:r>
      <w:r>
        <w:t xml:space="preserve"> </w:t>
      </w:r>
      <w:r w:rsidR="00176257">
        <w:t xml:space="preserve">This is the capacity or ability of the State Government to pay back the loans obtained. As seen above, the State has passed </w:t>
      </w:r>
      <w:r w:rsidR="00554A95">
        <w:t>all</w:t>
      </w:r>
      <w:r w:rsidR="00176257">
        <w:t xml:space="preserve"> its debt sustainability threshold</w:t>
      </w:r>
      <w:r w:rsidR="00554A95">
        <w:t>s</w:t>
      </w:r>
      <w:r w:rsidR="00176257">
        <w:t xml:space="preserve"> but within the liquidity ratios. </w:t>
      </w:r>
    </w:p>
    <w:p w14:paraId="4F5FCF22" w14:textId="2CBD935B" w:rsidR="00C96874" w:rsidRPr="00CB5ECB" w:rsidRDefault="00C96874" w:rsidP="001904F6">
      <w:pPr>
        <w:pStyle w:val="NumberedPara"/>
        <w:tabs>
          <w:tab w:val="clear" w:pos="2127"/>
          <w:tab w:val="num" w:pos="2552"/>
        </w:tabs>
        <w:ind w:left="567"/>
      </w:pPr>
      <w:r w:rsidRPr="00CB5ECB">
        <w:rPr>
          <w:b/>
        </w:rPr>
        <w:t>External Debt Service to Total Revenue:</w:t>
      </w:r>
      <w:r w:rsidRPr="00CB5ECB">
        <w:t xml:space="preserve"> </w:t>
      </w:r>
      <w:r w:rsidR="00176257" w:rsidRPr="00CB5ECB">
        <w:t xml:space="preserve">The External debt servicing to Total revenue for Kaduna State as </w:t>
      </w:r>
      <w:r w:rsidR="00554A95" w:rsidRPr="00CB5ECB">
        <w:t>of</w:t>
      </w:r>
      <w:r w:rsidR="00176257" w:rsidRPr="00CB5ECB">
        <w:t xml:space="preserve"> 31</w:t>
      </w:r>
      <w:r w:rsidR="00176257" w:rsidRPr="00CB5ECB">
        <w:rPr>
          <w:vertAlign w:val="superscript"/>
        </w:rPr>
        <w:t>st</w:t>
      </w:r>
      <w:r w:rsidR="00176257" w:rsidRPr="00CB5ECB">
        <w:t xml:space="preserve"> December 2020 is 3.06%. The State is far below the threshold of 10%. This is comparing the total revenue </w:t>
      </w:r>
      <w:r w:rsidR="00554A95" w:rsidRPr="00CB5ECB">
        <w:t>of</w:t>
      </w:r>
      <w:r w:rsidR="00176257" w:rsidRPr="00CB5ECB">
        <w:t xml:space="preserve"> the State which comprises IGR, FAAC, and other major revenue sources to service its external debt. </w:t>
      </w:r>
    </w:p>
    <w:p w14:paraId="299A2F02" w14:textId="684BE055" w:rsidR="00C96874" w:rsidRPr="00CB5ECB" w:rsidRDefault="00C96874" w:rsidP="001904F6">
      <w:pPr>
        <w:pStyle w:val="NumberedPara"/>
        <w:tabs>
          <w:tab w:val="clear" w:pos="2127"/>
          <w:tab w:val="num" w:pos="2552"/>
        </w:tabs>
        <w:ind w:left="567"/>
      </w:pPr>
      <w:r w:rsidRPr="00CB5ECB">
        <w:rPr>
          <w:b/>
        </w:rPr>
        <w:t>Total Debt Service to Total Revenue</w:t>
      </w:r>
      <w:r w:rsidRPr="00CB5ECB">
        <w:t xml:space="preserve">: </w:t>
      </w:r>
      <w:r w:rsidR="00176257" w:rsidRPr="00CB5ECB">
        <w:t xml:space="preserve">The Total debt service to Total revenue </w:t>
      </w:r>
      <w:r w:rsidR="00837A58" w:rsidRPr="00CB5ECB">
        <w:t xml:space="preserve">of Kaduna State stands at 5.46%. This is also below the liquidity threshold of 15%. The threshold assesses the total revenue inflow of the state in repaying its total debt both external and internal. </w:t>
      </w:r>
    </w:p>
    <w:p w14:paraId="1B0A2989" w14:textId="3B650E1E" w:rsidR="00C96874" w:rsidRPr="00CB5ECB" w:rsidRDefault="00C96874" w:rsidP="001904F6">
      <w:pPr>
        <w:pStyle w:val="NumberedPara"/>
        <w:tabs>
          <w:tab w:val="clear" w:pos="2127"/>
          <w:tab w:val="num" w:pos="2552"/>
        </w:tabs>
        <w:ind w:left="567"/>
      </w:pPr>
      <w:r w:rsidRPr="00CB5ECB">
        <w:rPr>
          <w:b/>
        </w:rPr>
        <w:t>Domestic Debt Service to IGR:</w:t>
      </w:r>
      <w:r w:rsidRPr="00CB5ECB">
        <w:t xml:space="preserve"> </w:t>
      </w:r>
      <w:r w:rsidR="00837A58" w:rsidRPr="00CB5ECB">
        <w:t>This threshold assesses the</w:t>
      </w:r>
      <w:r w:rsidR="00CD53EB" w:rsidRPr="00CB5ECB">
        <w:t xml:space="preserve"> State’s capacity in using its Internally Generated Revenue to meet its internal or domestic debt obligations. The State is within the liquidity ratio threshold, currently at 5.84% with a threshold of 10%. It should be noted that the debt servicing figures do not include payment of contracts liability arrears. If these were included, both the Total Debt Service to Total Revenue and Domestic Debt Service to IGR would increase substantially</w:t>
      </w:r>
      <w:bookmarkEnd w:id="126"/>
      <w:r w:rsidR="00DA4692" w:rsidRPr="00CB5ECB">
        <w:t>.</w:t>
      </w:r>
    </w:p>
    <w:p w14:paraId="6FE81D05" w14:textId="77777777" w:rsidR="00C96874" w:rsidRDefault="00C96874" w:rsidP="00C96874">
      <w:pPr>
        <w:pStyle w:val="Heading1"/>
      </w:pPr>
      <w:bookmarkStart w:id="179" w:name="_Toc340045253"/>
      <w:bookmarkStart w:id="180" w:name="_Toc340053645"/>
      <w:bookmarkStart w:id="181" w:name="_Toc14448427"/>
      <w:bookmarkStart w:id="182" w:name="_Toc106568632"/>
      <w:bookmarkStart w:id="183" w:name="_Toc143179799"/>
      <w:bookmarkStart w:id="184" w:name="_Hlk107404129"/>
      <w:r>
        <w:lastRenderedPageBreak/>
        <w:t>Fiscal Strategy</w:t>
      </w:r>
      <w:bookmarkEnd w:id="179"/>
      <w:bookmarkEnd w:id="180"/>
      <w:r>
        <w:t xml:space="preserve"> Paper</w:t>
      </w:r>
      <w:bookmarkEnd w:id="181"/>
      <w:bookmarkEnd w:id="182"/>
      <w:bookmarkEnd w:id="183"/>
    </w:p>
    <w:p w14:paraId="36AE481F" w14:textId="77777777" w:rsidR="00C96874" w:rsidRDefault="00C96874" w:rsidP="00C96874">
      <w:pPr>
        <w:pStyle w:val="Heading2"/>
      </w:pPr>
      <w:bookmarkStart w:id="185" w:name="_Toc14448428"/>
      <w:bookmarkStart w:id="186" w:name="_Toc106568633"/>
      <w:bookmarkStart w:id="187" w:name="_Toc143179800"/>
      <w:r>
        <w:t>Macroeconomic Framework</w:t>
      </w:r>
      <w:bookmarkEnd w:id="185"/>
      <w:bookmarkEnd w:id="186"/>
      <w:bookmarkEnd w:id="187"/>
    </w:p>
    <w:p w14:paraId="26053796" w14:textId="55B52620" w:rsidR="0018012F" w:rsidRDefault="0018012F" w:rsidP="00116D2A">
      <w:pPr>
        <w:pStyle w:val="NumberedPara"/>
        <w:tabs>
          <w:tab w:val="clear" w:pos="2127"/>
          <w:tab w:val="num" w:pos="2694"/>
        </w:tabs>
        <w:ind w:left="567"/>
      </w:pPr>
      <w:r>
        <w:t>Gross Domestic Product (GDP) grew by 2.31% (year-on-year) in real terms in the first quarter of 2023. This growth rate declined from 3.11% recorded in the first quarter of 2022, and 3.52% in the fourth quarter of 2022. The Government attributed the cash crunch suffered by Nigerians in the first quarter of 2023 as the reason for the growth of the Gross Domestic Product (GDP) by 2.31</w:t>
      </w:r>
      <w:r w:rsidR="001904F6">
        <w:t>%</w:t>
      </w:r>
      <w:r>
        <w:t xml:space="preserve"> (year-on-year) in real terms. The growth rate declined from 3.11</w:t>
      </w:r>
      <w:r w:rsidR="001904F6">
        <w:t>%</w:t>
      </w:r>
      <w:r>
        <w:t>t recorded in the first quarter of 2022 and 3.52</w:t>
      </w:r>
      <w:r w:rsidR="001904F6">
        <w:t>%</w:t>
      </w:r>
      <w:r>
        <w:t xml:space="preserve"> in the fourth quarter of 2022. The reduction in growth is attributed to the adverse effects of the cash crunch experienced during the quarter.</w:t>
      </w:r>
    </w:p>
    <w:p w14:paraId="31323A81" w14:textId="6ED5AD0D" w:rsidR="0018012F" w:rsidRDefault="0018012F" w:rsidP="00116D2A">
      <w:pPr>
        <w:pStyle w:val="NumberedPara"/>
        <w:tabs>
          <w:tab w:val="clear" w:pos="2127"/>
          <w:tab w:val="num" w:pos="2694"/>
        </w:tabs>
        <w:ind w:left="567"/>
      </w:pPr>
      <w:r>
        <w:t>The performance of Nigeria’s GDP in the first quarter of 2023 was driven mainly by the services sector, which recorded a growth of 4.35</w:t>
      </w:r>
      <w:r w:rsidR="00116D2A">
        <w:t>%</w:t>
      </w:r>
      <w:r>
        <w:t xml:space="preserve"> and contributed 57.29</w:t>
      </w:r>
      <w:r w:rsidR="00116D2A">
        <w:t xml:space="preserve">% </w:t>
      </w:r>
      <w:r>
        <w:t>to the aggregate GDP. The agriculture sector also grew by -0.90</w:t>
      </w:r>
      <w:r w:rsidR="00116D2A">
        <w:t>%</w:t>
      </w:r>
      <w:r>
        <w:t>, lower than the growth of 3.16</w:t>
      </w:r>
      <w:r w:rsidR="00116D2A">
        <w:t>%</w:t>
      </w:r>
      <w:r>
        <w:t xml:space="preserve"> recorded in the first quarter of 2022.</w:t>
      </w:r>
    </w:p>
    <w:p w14:paraId="6EFB2580" w14:textId="049E6C84" w:rsidR="0018012F" w:rsidRDefault="0018012F" w:rsidP="00116D2A">
      <w:pPr>
        <w:pStyle w:val="NumberedPara"/>
        <w:tabs>
          <w:tab w:val="clear" w:pos="2127"/>
          <w:tab w:val="num" w:pos="2694"/>
        </w:tabs>
        <w:ind w:left="567"/>
      </w:pPr>
      <w:r>
        <w:t>Although, the growth of the industry sector improved to 0.31</w:t>
      </w:r>
      <w:r w:rsidR="00116D2A">
        <w:t>%</w:t>
      </w:r>
      <w:r>
        <w:t xml:space="preserve"> relative to – 6.81</w:t>
      </w:r>
      <w:r w:rsidR="00116D2A">
        <w:t>%</w:t>
      </w:r>
      <w:r>
        <w:t xml:space="preserve"> recorded in the first quarter of 2022, agriculture, and the industry sectors contributed less to the aggregate GDP in the quarter under review compared to the first quarter of 2022.</w:t>
      </w:r>
    </w:p>
    <w:p w14:paraId="33DA9A02" w14:textId="4CB5C896" w:rsidR="0018012F" w:rsidRDefault="0018012F" w:rsidP="00116D2A">
      <w:pPr>
        <w:pStyle w:val="NumberedPara"/>
        <w:tabs>
          <w:tab w:val="clear" w:pos="2127"/>
          <w:tab w:val="num" w:pos="2694"/>
        </w:tabs>
        <w:ind w:left="567"/>
      </w:pPr>
      <w:r>
        <w:t>In May 2023, Nigeria’s headline inflation rate increased to 22.41% relative to April 2023 headline inflation rate which was 22.22%. Looking at the movement, the May 2023 inflation rate showed an increase of 0.19% points when compared to April 2023 headline inflation rate.</w:t>
      </w:r>
    </w:p>
    <w:p w14:paraId="645317F7" w14:textId="0B63488C" w:rsidR="0018012F" w:rsidRDefault="0018012F" w:rsidP="00116D2A">
      <w:pPr>
        <w:pStyle w:val="NumberedPara"/>
        <w:tabs>
          <w:tab w:val="clear" w:pos="2127"/>
          <w:tab w:val="num" w:pos="2694"/>
        </w:tabs>
        <w:ind w:left="567"/>
      </w:pPr>
      <w:r>
        <w:t xml:space="preserve">Similarly, on a year-on-year basis, </w:t>
      </w:r>
      <w:r w:rsidR="00116D2A">
        <w:t>Nigeria’s</w:t>
      </w:r>
      <w:r>
        <w:t xml:space="preserve"> headline inflation rate was 4.70% points higher compared to the rate recorded in May 2022, which was (17.71%). This shows that the headline inflation rate (year-on-year basis) increased in the month of May 2023 when compared to the same month in the preceding year (i.e., May 2022).  </w:t>
      </w:r>
    </w:p>
    <w:p w14:paraId="62CB4561" w14:textId="0AB81993" w:rsidR="0018012F" w:rsidRDefault="0018012F" w:rsidP="00116D2A">
      <w:pPr>
        <w:pStyle w:val="NumberedPara"/>
        <w:tabs>
          <w:tab w:val="clear" w:pos="2127"/>
          <w:tab w:val="num" w:pos="2694"/>
        </w:tabs>
        <w:ind w:left="567"/>
      </w:pPr>
      <w:r>
        <w:t xml:space="preserve">In most years since 1980, global GDP growth has been relatively consistent, generally fluctuating between two and five percent growth from year to year. The most notable exceptions to this were during the Great Recession in 2009, and again in 2020 during the Covid-19 pandemic, </w:t>
      </w:r>
      <w:r w:rsidR="00116D2A">
        <w:t>when</w:t>
      </w:r>
      <w:r>
        <w:t xml:space="preserve"> the global economy </w:t>
      </w:r>
      <w:r w:rsidR="00116D2A">
        <w:t>shrank</w:t>
      </w:r>
      <w:r>
        <w:t xml:space="preserve"> in </w:t>
      </w:r>
      <w:r w:rsidR="00116D2A">
        <w:t>both</w:t>
      </w:r>
      <w:r>
        <w:t xml:space="preserve"> years. As the world economy continues to deal with the economic impact of the pandemic, as well as the fallout from Russia's invasion of Ukraine </w:t>
      </w:r>
      <w:r w:rsidR="00116D2A">
        <w:t>in</w:t>
      </w:r>
      <w:r>
        <w:t xml:space="preserve"> 2022, the future remains uncertain, however</w:t>
      </w:r>
      <w:r w:rsidR="00116D2A">
        <w:t>,</w:t>
      </w:r>
      <w:r>
        <w:t xml:space="preserve"> current estimates suggest that annual growth will return to steady figures of around 3 percent in 2028.</w:t>
      </w:r>
    </w:p>
    <w:p w14:paraId="2B319499" w14:textId="5237E3F6" w:rsidR="0018012F" w:rsidRDefault="0018012F" w:rsidP="00116D2A">
      <w:pPr>
        <w:pStyle w:val="NumberedPara"/>
        <w:tabs>
          <w:tab w:val="clear" w:pos="2127"/>
          <w:tab w:val="num" w:pos="2694"/>
        </w:tabs>
        <w:ind w:left="567"/>
      </w:pPr>
      <w:r>
        <w:t xml:space="preserve">While headline inflation is expected to recede gradually through 2023 in most G20 countries, core inflation remains persistent. This is due to strong service price increases and cost pressures from tight </w:t>
      </w:r>
      <w:r w:rsidR="00116D2A">
        <w:t>labour</w:t>
      </w:r>
      <w:r>
        <w:t xml:space="preserve"> markets. This means that inflationary pressures will require many central banks to maintain high policy rates well into 2024.</w:t>
      </w:r>
    </w:p>
    <w:p w14:paraId="281E7CD0" w14:textId="350F9752" w:rsidR="0018012F" w:rsidRDefault="0018012F" w:rsidP="00116D2A">
      <w:pPr>
        <w:pStyle w:val="NumberedPara"/>
        <w:tabs>
          <w:tab w:val="clear" w:pos="2127"/>
          <w:tab w:val="num" w:pos="2694"/>
        </w:tabs>
        <w:ind w:left="567"/>
      </w:pPr>
      <w:r>
        <w:t xml:space="preserve">Headline inflation is declining, but core inflation remains elevated due to strong service price increases, higher margins in some sectors, and cost pressures from tight </w:t>
      </w:r>
      <w:r w:rsidR="00116D2A">
        <w:t>labour</w:t>
      </w:r>
      <w:r>
        <w:t xml:space="preserve"> markets. Inflation is projected to moderate gradually over 2023 and 2024 but </w:t>
      </w:r>
      <w:r w:rsidR="00116D2A">
        <w:t>remains</w:t>
      </w:r>
      <w:r>
        <w:t xml:space="preserve"> above central bank objectives until the latter half of 2024 in most countries.</w:t>
      </w:r>
    </w:p>
    <w:p w14:paraId="34A6F920" w14:textId="7CD95989" w:rsidR="0018012F" w:rsidRDefault="0018012F" w:rsidP="00116D2A">
      <w:pPr>
        <w:pStyle w:val="NumberedPara"/>
        <w:tabs>
          <w:tab w:val="clear" w:pos="2127"/>
          <w:tab w:val="num" w:pos="2694"/>
        </w:tabs>
        <w:ind w:left="567"/>
      </w:pPr>
      <w:r>
        <w:t xml:space="preserve">Side effects from the fast rise in policy rates are becoming apparent, as banking sector vulnerabilities have come into focus and fears of contagion have risen across the broader financial sector, including nonbank financial institutions. Risks to the outlook are heavily skewed to the downside, with the chances of a hard landing </w:t>
      </w:r>
      <w:r w:rsidR="00116D2A">
        <w:t>has</w:t>
      </w:r>
      <w:r>
        <w:t xml:space="preserve"> risen sharply.</w:t>
      </w:r>
    </w:p>
    <w:p w14:paraId="04B017FF" w14:textId="77777777" w:rsidR="0018012F" w:rsidRDefault="0018012F" w:rsidP="00116D2A">
      <w:pPr>
        <w:pStyle w:val="NumberedPara"/>
        <w:tabs>
          <w:tab w:val="clear" w:pos="2127"/>
          <w:tab w:val="num" w:pos="2694"/>
        </w:tabs>
        <w:ind w:left="567"/>
      </w:pPr>
      <w:r>
        <w:t xml:space="preserve">The natural rate of interest—the real interest rate that neither stimulates nor contracts the economy—is important for both monetary and fiscal policy; it is a reference level to gauge the stance of monetary policy and a key determinant of the sustainability of public debt. </w:t>
      </w:r>
    </w:p>
    <w:p w14:paraId="72953D2B" w14:textId="77777777" w:rsidR="0018012F" w:rsidRDefault="0018012F" w:rsidP="00116D2A">
      <w:pPr>
        <w:pStyle w:val="NumberedPara"/>
        <w:tabs>
          <w:tab w:val="clear" w:pos="2127"/>
          <w:tab w:val="num" w:pos="2694"/>
        </w:tabs>
        <w:ind w:left="567"/>
      </w:pPr>
      <w:r>
        <w:t xml:space="preserve">Global oil markets are gradually recalibrating after three turbulent years in which they were upended first by the Covid-19 pandemic and then by the Russian Federation’s (hereafter </w:t>
      </w:r>
      <w:r>
        <w:lastRenderedPageBreak/>
        <w:t>“Russia”) invasion of Ukraine. Benchmark crude oil prices are back below pre-war levels and refined product cracks have now come off all-time highs after rising supplies coincided with a marked slowdown in oil demand growth in advanced economies. Moreover, an unprecedented reshuffling of global trade flows and two consecutive emergency stock releases by IEA member countries in 2022 allowed industry inventories to rebuild, easing market tensions.</w:t>
      </w:r>
    </w:p>
    <w:p w14:paraId="625888EA" w14:textId="77777777" w:rsidR="0018012F" w:rsidRDefault="0018012F" w:rsidP="00116D2A">
      <w:pPr>
        <w:pStyle w:val="NumberedPara"/>
        <w:tabs>
          <w:tab w:val="clear" w:pos="2127"/>
          <w:tab w:val="num" w:pos="2694"/>
        </w:tabs>
        <w:ind w:left="567"/>
      </w:pPr>
      <w:r>
        <w:t>Global oil demand is projected to reach almost 107 million barrels a day (mb/d) in 2027, representing a robust increase of 10 mb/d compared to 2021. Most of this increase will materialize in the non-OECD region, which accounts for 8.6 mb/d of the medium-term growth. Of this, however, more than 5 mb/d will be realized in the period to 2024. OECD oil demand is expected to see an increase of 1.4 mb/d by 2027, with the 2.4 mb/d expansion in the period to 2024, offset by a decline of 1 mb/d during the rest of the medium-term.</w:t>
      </w:r>
    </w:p>
    <w:p w14:paraId="266407AD" w14:textId="394CDAA6" w:rsidR="0018012F" w:rsidRDefault="0018012F" w:rsidP="00116D2A">
      <w:pPr>
        <w:pStyle w:val="NumberedPara"/>
        <w:tabs>
          <w:tab w:val="clear" w:pos="2127"/>
          <w:tab w:val="num" w:pos="1135"/>
          <w:tab w:val="num" w:pos="2694"/>
        </w:tabs>
        <w:ind w:left="567"/>
      </w:pPr>
      <w:r>
        <w:t xml:space="preserve">However, OPEC </w:t>
      </w:r>
      <w:r w:rsidR="00116D2A">
        <w:t>expects</w:t>
      </w:r>
      <w:r>
        <w:t xml:space="preserve"> that oil demand will hit 110 million barrels per day in 2045. Global oil demand will rise to 110 million barrels a day in two decades, bringing the world's energy demand up 23%, said OPEC.</w:t>
      </w:r>
    </w:p>
    <w:p w14:paraId="66873968" w14:textId="77777777" w:rsidR="0018012F" w:rsidRDefault="0018012F" w:rsidP="00116D2A">
      <w:pPr>
        <w:pStyle w:val="NumberedPara"/>
        <w:tabs>
          <w:tab w:val="clear" w:pos="2127"/>
          <w:tab w:val="num" w:pos="2694"/>
        </w:tabs>
        <w:ind w:left="567"/>
      </w:pPr>
      <w:r>
        <w:t>Nigeria's economy experienced a higher net foreign exchange inflow in February, mainly due to increased CBN inflow. Autonomous sources experienced a decrease in inflow. Aggregate foreign exchange inflow increased by 7.2% to $5.66 billion, while outflows rose by 9.0% to $3.02 billion.</w:t>
      </w:r>
    </w:p>
    <w:p w14:paraId="6CB24882" w14:textId="5648737C" w:rsidR="0018012F" w:rsidRDefault="0018012F" w:rsidP="00116D2A">
      <w:pPr>
        <w:pStyle w:val="NumberedPara"/>
        <w:tabs>
          <w:tab w:val="clear" w:pos="2127"/>
          <w:tab w:val="num" w:pos="2694"/>
        </w:tabs>
        <w:ind w:left="567"/>
      </w:pPr>
      <w:r>
        <w:t>Foreign exchange inflow and outflow increased by 37.7% and 2.6%, respectively, while autonomous inflow decreased by 9.1% and outflow increased by 0.5%. A net inflow of US$2.56 billion was recorded through autonomous sources, compared with US$2.97 billion in January. The CBN recorded a net inflow of US$0.075 billion, compared with a net outflow of US$0.46 billion in the preceding month</w:t>
      </w:r>
      <w:r w:rsidR="00116D2A">
        <w:t>.</w:t>
      </w:r>
    </w:p>
    <w:p w14:paraId="059F5831" w14:textId="16A94DAD" w:rsidR="009C151F" w:rsidRDefault="0018012F" w:rsidP="00116D2A">
      <w:pPr>
        <w:pStyle w:val="NumberedPara"/>
        <w:tabs>
          <w:tab w:val="clear" w:pos="2127"/>
          <w:tab w:val="num" w:pos="1135"/>
          <w:tab w:val="num" w:pos="2694"/>
        </w:tabs>
        <w:ind w:left="567"/>
      </w:pPr>
      <w:r>
        <w:t>The exchange rate of the naira appreciated at the I&amp;E window relative to the preceding month. The average exchange rate of the naira per US dollar at the I&amp;E window appreciated by 0.03</w:t>
      </w:r>
      <w:r w:rsidR="00116D2A">
        <w:t>%</w:t>
      </w:r>
      <w:r>
        <w:t xml:space="preserve"> to ₦460.84/US$, relative to ₦460.99/US$ in the preceding month. The average foreign exchange turnover at the Investors’ and Exporters’ window decreased by 13.7</w:t>
      </w:r>
      <w:r w:rsidR="00116D2A">
        <w:t>%</w:t>
      </w:r>
      <w:r>
        <w:t xml:space="preserve"> to US$85.80 million in February, relative to US$99.47 million in January.</w:t>
      </w:r>
    </w:p>
    <w:p w14:paraId="4E0B607F" w14:textId="2F752685" w:rsidR="00C96874" w:rsidRDefault="00EC6AD3" w:rsidP="00116D2A">
      <w:pPr>
        <w:pStyle w:val="Caption"/>
        <w:rPr>
          <w:b w:val="0"/>
          <w:bCs w:val="0"/>
        </w:rPr>
      </w:pPr>
      <w:bookmarkStart w:id="188" w:name="_Toc107777910"/>
      <w:bookmarkStart w:id="189" w:name="_Toc143179947"/>
      <w:r>
        <w:t xml:space="preserve">Table </w:t>
      </w:r>
      <w:r>
        <w:fldChar w:fldCharType="begin"/>
      </w:r>
      <w:r>
        <w:instrText xml:space="preserve"> SEQ Table \* ARABIC </w:instrText>
      </w:r>
      <w:r>
        <w:fldChar w:fldCharType="separate"/>
      </w:r>
      <w:r w:rsidR="00727B66">
        <w:rPr>
          <w:noProof/>
        </w:rPr>
        <w:t>10</w:t>
      </w:r>
      <w:r>
        <w:fldChar w:fldCharType="end"/>
      </w:r>
      <w:r w:rsidR="00C96874">
        <w:t xml:space="preserve">: Kaduna State Macroeconomic </w:t>
      </w:r>
      <w:commentRangeStart w:id="190"/>
      <w:r w:rsidR="00C96874">
        <w:t>Framework</w:t>
      </w:r>
      <w:bookmarkEnd w:id="188"/>
      <w:commentRangeEnd w:id="190"/>
      <w:r w:rsidR="00CA59BA">
        <w:rPr>
          <w:rStyle w:val="CommentReference"/>
          <w:b w:val="0"/>
          <w:bCs w:val="0"/>
        </w:rPr>
        <w:commentReference w:id="190"/>
      </w:r>
      <w:bookmarkEnd w:id="189"/>
      <w:r w:rsidR="00710214" w:rsidRPr="00710214">
        <w:rPr>
          <w:b w:val="0"/>
          <w:bCs w:val="0"/>
        </w:rPr>
        <w:t xml:space="preserve"> </w:t>
      </w:r>
    </w:p>
    <w:p w14:paraId="7A9AF0FC" w14:textId="21ED8D4D" w:rsidR="00810E6A" w:rsidRPr="00810E6A" w:rsidRDefault="00E85323" w:rsidP="00810E6A">
      <w:r w:rsidRPr="00E85323">
        <w:rPr>
          <w:noProof/>
        </w:rPr>
        <w:drawing>
          <wp:inline distT="0" distB="0" distL="0" distR="0" wp14:anchorId="7D070560" wp14:editId="0FD3742C">
            <wp:extent cx="5504815" cy="1159510"/>
            <wp:effectExtent l="0" t="0" r="635" b="2540"/>
            <wp:docPr id="2062583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04815" cy="1159510"/>
                    </a:xfrm>
                    <a:prstGeom prst="rect">
                      <a:avLst/>
                    </a:prstGeom>
                    <a:noFill/>
                    <a:ln>
                      <a:noFill/>
                    </a:ln>
                  </pic:spPr>
                </pic:pic>
              </a:graphicData>
            </a:graphic>
          </wp:inline>
        </w:drawing>
      </w:r>
    </w:p>
    <w:p w14:paraId="2581B889" w14:textId="77777777" w:rsidR="00C96874" w:rsidRDefault="00C96874" w:rsidP="00C96874">
      <w:pPr>
        <w:pStyle w:val="Heading2"/>
      </w:pPr>
      <w:bookmarkStart w:id="191" w:name="_Toc518473356"/>
      <w:bookmarkStart w:id="192" w:name="_Toc14448429"/>
      <w:bookmarkStart w:id="193" w:name="_Toc106568634"/>
      <w:bookmarkStart w:id="194" w:name="_Toc143179801"/>
      <w:bookmarkEnd w:id="191"/>
      <w:r>
        <w:t>Fiscal Strategy and Assumptions</w:t>
      </w:r>
      <w:bookmarkEnd w:id="192"/>
      <w:bookmarkEnd w:id="193"/>
      <w:bookmarkEnd w:id="194"/>
      <w:r>
        <w:t xml:space="preserve"> </w:t>
      </w:r>
    </w:p>
    <w:p w14:paraId="7C9135C9" w14:textId="77777777" w:rsidR="00C96874" w:rsidRDefault="00C96874" w:rsidP="00116D2A">
      <w:pPr>
        <w:pStyle w:val="Heading3"/>
      </w:pPr>
      <w:bookmarkStart w:id="195" w:name="_Toc143179802"/>
      <w:r>
        <w:t>Policy Statement</w:t>
      </w:r>
      <w:bookmarkEnd w:id="195"/>
    </w:p>
    <w:p w14:paraId="69C94DF0" w14:textId="21E38FB5" w:rsidR="00C96874" w:rsidRDefault="00C96874" w:rsidP="00116D2A">
      <w:pPr>
        <w:pStyle w:val="NumberedPara"/>
        <w:tabs>
          <w:tab w:val="clear" w:pos="2127"/>
          <w:tab w:val="num" w:pos="2552"/>
        </w:tabs>
        <w:ind w:left="567"/>
      </w:pPr>
      <w:r w:rsidRPr="00E344F8">
        <w:t>The overall policy of government when considering its budget remain</w:t>
      </w:r>
      <w:r w:rsidR="00653210">
        <w:t>s</w:t>
      </w:r>
      <w:r w:rsidRPr="00E344F8">
        <w:t xml:space="preserve"> along the line of the State Development Plan 20</w:t>
      </w:r>
      <w:r w:rsidR="004E64BA">
        <w:t>21</w:t>
      </w:r>
      <w:r w:rsidRPr="00E344F8">
        <w:t>-202</w:t>
      </w:r>
      <w:r w:rsidR="004E64BA">
        <w:t>5</w:t>
      </w:r>
      <w:r w:rsidRPr="00E344F8">
        <w:t xml:space="preserve"> with the following key criteria:</w:t>
      </w:r>
    </w:p>
    <w:p w14:paraId="6ABFDC02" w14:textId="0542D61A" w:rsidR="00C96874" w:rsidRDefault="00CB10B3" w:rsidP="00CB10B3">
      <w:pPr>
        <w:pStyle w:val="Bullet"/>
      </w:pPr>
      <w:r>
        <w:t>Sustaining the productivity and diversification of the economy of the State.</w:t>
      </w:r>
    </w:p>
    <w:p w14:paraId="5D68212D" w14:textId="2FD1F22D" w:rsidR="00C96874" w:rsidRDefault="00CB10B3" w:rsidP="00C96874">
      <w:pPr>
        <w:pStyle w:val="Bullet"/>
      </w:pPr>
      <w:r w:rsidRPr="00CB10B3">
        <w:t>Promoting a conducive business environment that will improve opportunities</w:t>
      </w:r>
      <w:r w:rsidR="00CD1717">
        <w:t xml:space="preserve"> for trade and investment in the state (agriculture, ICT, SMEs, </w:t>
      </w:r>
      <w:r w:rsidR="002C7711">
        <w:t>tourism</w:t>
      </w:r>
      <w:r w:rsidR="00CD1717">
        <w:t>)</w:t>
      </w:r>
      <w:r>
        <w:t>.</w:t>
      </w:r>
    </w:p>
    <w:p w14:paraId="7ECD9D20" w14:textId="27CFE45C" w:rsidR="00C96874" w:rsidRDefault="00CB10B3" w:rsidP="00C96874">
      <w:pPr>
        <w:pStyle w:val="Bullet"/>
      </w:pPr>
      <w:r w:rsidRPr="00CB10B3">
        <w:t>Continuous investment in infrastructure that will accelerate economic growth</w:t>
      </w:r>
      <w:r w:rsidR="00CD1717">
        <w:t xml:space="preserve"> and development</w:t>
      </w:r>
      <w:r>
        <w:t>.</w:t>
      </w:r>
    </w:p>
    <w:p w14:paraId="3111D667" w14:textId="760FED89" w:rsidR="00C96874" w:rsidRDefault="00CB10B3" w:rsidP="00C96874">
      <w:pPr>
        <w:pStyle w:val="Bullet"/>
      </w:pPr>
      <w:r w:rsidRPr="00CB10B3">
        <w:t>Continuous improvement in the State’s prospects to achieve the relevant aspects of the SDGs</w:t>
      </w:r>
      <w:r>
        <w:t>.</w:t>
      </w:r>
    </w:p>
    <w:p w14:paraId="145AF7FA" w14:textId="20A361D6" w:rsidR="00C96874" w:rsidRDefault="00CB10B3" w:rsidP="00C96874">
      <w:pPr>
        <w:pStyle w:val="Bullet"/>
      </w:pPr>
      <w:r w:rsidRPr="00CB10B3">
        <w:lastRenderedPageBreak/>
        <w:t>Redesigning and improving security strategies for the protection of lives and properties</w:t>
      </w:r>
      <w:r>
        <w:t>.</w:t>
      </w:r>
    </w:p>
    <w:p w14:paraId="36ED23B6" w14:textId="77777777" w:rsidR="002C7711" w:rsidRDefault="002C7711" w:rsidP="002C7711">
      <w:pPr>
        <w:pStyle w:val="Bullet"/>
        <w:numPr>
          <w:ilvl w:val="0"/>
          <w:numId w:val="0"/>
        </w:numPr>
        <w:ind w:left="1134" w:hanging="567"/>
      </w:pPr>
    </w:p>
    <w:p w14:paraId="0B4FBD94" w14:textId="367F0A5F" w:rsidR="002C7711" w:rsidRDefault="00CB10B3" w:rsidP="002C7711">
      <w:pPr>
        <w:pStyle w:val="Bullet"/>
      </w:pPr>
      <w:r w:rsidRPr="00CB10B3">
        <w:t>Ensure continuous institutional strengthening for achieving effective, efficient, transparent, and accountable government for improved service delivery</w:t>
      </w:r>
      <w:r>
        <w:t>.</w:t>
      </w:r>
    </w:p>
    <w:p w14:paraId="494CFFFF" w14:textId="5DFDF5ED" w:rsidR="002C7711" w:rsidRDefault="002C7711" w:rsidP="00C96874">
      <w:pPr>
        <w:pStyle w:val="Bullet"/>
      </w:pPr>
      <w:r>
        <w:t>Ensure investment in Human Capital Development in the State.</w:t>
      </w:r>
    </w:p>
    <w:p w14:paraId="72D07DCE" w14:textId="33605A02" w:rsidR="002C7711" w:rsidRDefault="002C7711" w:rsidP="00C96874">
      <w:pPr>
        <w:pStyle w:val="Bullet"/>
      </w:pPr>
      <w:r>
        <w:t>Sustain citizens participation in governance.</w:t>
      </w:r>
    </w:p>
    <w:p w14:paraId="00E7DB09" w14:textId="77777777" w:rsidR="00C96874" w:rsidRDefault="00C96874" w:rsidP="00116D2A">
      <w:pPr>
        <w:pStyle w:val="Heading3"/>
      </w:pPr>
      <w:bookmarkStart w:id="196" w:name="_Toc143179803"/>
      <w:r>
        <w:t>Objectives and Targets</w:t>
      </w:r>
      <w:bookmarkEnd w:id="196"/>
    </w:p>
    <w:p w14:paraId="59CA97FF" w14:textId="77777777" w:rsidR="00C96874" w:rsidRDefault="00C96874" w:rsidP="00116D2A">
      <w:pPr>
        <w:pStyle w:val="NumberedPara"/>
        <w:tabs>
          <w:tab w:val="clear" w:pos="2127"/>
          <w:tab w:val="num" w:pos="2694"/>
        </w:tabs>
        <w:ind w:left="567"/>
      </w:pPr>
      <w:r>
        <w:t>The key targets from a fiscal perspective are:</w:t>
      </w:r>
    </w:p>
    <w:p w14:paraId="639C79BC" w14:textId="2FE3EE2F" w:rsidR="00CB10B3" w:rsidRDefault="00CB10B3" w:rsidP="00CB10B3">
      <w:pPr>
        <w:pStyle w:val="Bullet"/>
      </w:pPr>
      <w:r>
        <w:t xml:space="preserve">Ensuring the actualization of the development priorities of the government as articulated in the State Development Plan (SDP) 2021 – </w:t>
      </w:r>
      <w:r w:rsidR="00653210">
        <w:t>2025.</w:t>
      </w:r>
    </w:p>
    <w:p w14:paraId="04F7022F" w14:textId="406455C5" w:rsidR="00CB10B3" w:rsidRDefault="00CB10B3" w:rsidP="00CB10B3">
      <w:pPr>
        <w:pStyle w:val="Bullet"/>
      </w:pPr>
      <w:r>
        <w:t>Maintaining a favourable proportion of Capital to Recurrent expenditure (at least a target of 60:40</w:t>
      </w:r>
      <w:r w:rsidR="00653210">
        <w:t xml:space="preserve"> ratio</w:t>
      </w:r>
      <w:r>
        <w:t>)</w:t>
      </w:r>
      <w:r w:rsidR="00653210">
        <w:t>.</w:t>
      </w:r>
    </w:p>
    <w:p w14:paraId="131B733C" w14:textId="50286732" w:rsidR="00CB10B3" w:rsidRDefault="00CB10B3" w:rsidP="00CB10B3">
      <w:pPr>
        <w:pStyle w:val="Bullet"/>
      </w:pPr>
      <w:r>
        <w:t xml:space="preserve">Maintain a sustainable debt position in line with Federal Debt Management Office (FDMO) criteria and State Debt Clearance </w:t>
      </w:r>
      <w:r w:rsidR="00653210">
        <w:t>Framework.</w:t>
      </w:r>
      <w:r>
        <w:t xml:space="preserve"> </w:t>
      </w:r>
    </w:p>
    <w:p w14:paraId="1F207414" w14:textId="4DCBE7DC" w:rsidR="00CB10B3" w:rsidRDefault="00CB10B3" w:rsidP="00CB10B3">
      <w:pPr>
        <w:pStyle w:val="Bullet"/>
      </w:pPr>
      <w:r>
        <w:t xml:space="preserve">Expand the revenue base of the State by exploring untapped </w:t>
      </w:r>
      <w:r w:rsidR="00653210">
        <w:t>sources.</w:t>
      </w:r>
    </w:p>
    <w:p w14:paraId="3B11EE58" w14:textId="455E81F8" w:rsidR="00CB10B3" w:rsidRDefault="00CB10B3" w:rsidP="00CB10B3">
      <w:pPr>
        <w:pStyle w:val="Bullet"/>
      </w:pPr>
      <w:r>
        <w:t>Improve economic growth through investment in infrastru</w:t>
      </w:r>
      <w:r w:rsidR="002C7711">
        <w:t>cture in urban and rural areas</w:t>
      </w:r>
      <w:r w:rsidR="00653210">
        <w:t>.</w:t>
      </w:r>
    </w:p>
    <w:p w14:paraId="39F17FF5" w14:textId="6AFF7B19" w:rsidR="00CB10B3" w:rsidRDefault="00CB10B3" w:rsidP="00CB10B3">
      <w:pPr>
        <w:pStyle w:val="Bullet"/>
      </w:pPr>
      <w:r>
        <w:t xml:space="preserve">Eliminating wastages and other unjustifiable expenditure that are not clearly linked to policy </w:t>
      </w:r>
      <w:r w:rsidR="00653210">
        <w:t>objectives.</w:t>
      </w:r>
      <w:r>
        <w:t xml:space="preserve"> </w:t>
      </w:r>
    </w:p>
    <w:p w14:paraId="00C6B99E" w14:textId="78370214" w:rsidR="00CB10B3" w:rsidRDefault="002C7711" w:rsidP="00CB10B3">
      <w:pPr>
        <w:pStyle w:val="Bullet"/>
      </w:pPr>
      <w:r>
        <w:t>Ensuring adequate provision for</w:t>
      </w:r>
      <w:r w:rsidR="00CB10B3">
        <w:t xml:space="preserve"> 202</w:t>
      </w:r>
      <w:r>
        <w:t>3 projects not likely</w:t>
      </w:r>
      <w:r w:rsidR="00CB10B3">
        <w:t xml:space="preserve"> to be completed in 202</w:t>
      </w:r>
      <w:r>
        <w:t>3</w:t>
      </w:r>
      <w:r w:rsidR="00CB10B3">
        <w:t xml:space="preserve"> or over the period of 202</w:t>
      </w:r>
      <w:r w:rsidR="004663ED">
        <w:t>4</w:t>
      </w:r>
      <w:r w:rsidR="00CB10B3">
        <w:t xml:space="preserve"> </w:t>
      </w:r>
      <w:r w:rsidR="00860400">
        <w:t>–</w:t>
      </w:r>
      <w:r w:rsidR="00CB10B3">
        <w:t xml:space="preserve"> </w:t>
      </w:r>
      <w:r w:rsidR="00653210">
        <w:t>202</w:t>
      </w:r>
      <w:r w:rsidR="004663ED">
        <w:t>6</w:t>
      </w:r>
      <w:r w:rsidR="00860400">
        <w:t>;</w:t>
      </w:r>
      <w:r w:rsidR="00CB10B3">
        <w:t xml:space="preserve"> and</w:t>
      </w:r>
    </w:p>
    <w:p w14:paraId="4C360687" w14:textId="26785463" w:rsidR="00CB10B3" w:rsidRDefault="00CB10B3" w:rsidP="00CB10B3">
      <w:pPr>
        <w:pStyle w:val="Bullet"/>
      </w:pPr>
      <w:r>
        <w:t>Ensure the inclusion of sector wide public works programs with significant potential for job creation across all Local Government of the State.</w:t>
      </w:r>
    </w:p>
    <w:p w14:paraId="063268A8" w14:textId="72962DAD" w:rsidR="00C96874" w:rsidRDefault="00C96874" w:rsidP="00CB10B3">
      <w:pPr>
        <w:spacing w:before="0" w:after="160" w:line="259" w:lineRule="auto"/>
      </w:pPr>
    </w:p>
    <w:p w14:paraId="27F96444" w14:textId="25883ACE" w:rsidR="009875B9" w:rsidRDefault="00CB10B3" w:rsidP="00CB10B3">
      <w:pPr>
        <w:spacing w:before="0" w:after="160" w:line="259" w:lineRule="auto"/>
      </w:pPr>
      <w:r>
        <w:br w:type="page"/>
      </w:r>
    </w:p>
    <w:p w14:paraId="6C796E02" w14:textId="338416BB" w:rsidR="00C96874" w:rsidRDefault="00C96874" w:rsidP="00C96874">
      <w:pPr>
        <w:pStyle w:val="Heading2"/>
      </w:pPr>
      <w:bookmarkStart w:id="197" w:name="_Toc14448430"/>
      <w:bookmarkStart w:id="198" w:name="_Toc106568635"/>
      <w:bookmarkStart w:id="199" w:name="_Toc143179804"/>
      <w:r>
        <w:lastRenderedPageBreak/>
        <w:t xml:space="preserve">Indicative </w:t>
      </w:r>
      <w:r w:rsidR="00A14BD9">
        <w:t>Three-Year</w:t>
      </w:r>
      <w:r>
        <w:t xml:space="preserve"> Fiscal Framework</w:t>
      </w:r>
      <w:bookmarkEnd w:id="197"/>
      <w:bookmarkEnd w:id="198"/>
      <w:bookmarkEnd w:id="199"/>
    </w:p>
    <w:p w14:paraId="097E45B4" w14:textId="47916893" w:rsidR="00C96874" w:rsidRDefault="00C96874" w:rsidP="00116D2A">
      <w:pPr>
        <w:pStyle w:val="NumberedPara"/>
        <w:tabs>
          <w:tab w:val="clear" w:pos="2127"/>
          <w:tab w:val="num" w:pos="2552"/>
        </w:tabs>
        <w:ind w:left="567"/>
      </w:pPr>
      <w:r>
        <w:t xml:space="preserve">The indicative </w:t>
      </w:r>
      <w:r w:rsidR="009875B9">
        <w:t>three-year</w:t>
      </w:r>
      <w:r>
        <w:t xml:space="preserve"> fiscal framework for the period </w:t>
      </w:r>
      <w:r w:rsidR="00CA59BA">
        <w:t xml:space="preserve">2024 </w:t>
      </w:r>
      <w:r>
        <w:t>-</w:t>
      </w:r>
      <w:r w:rsidR="00907B5C">
        <w:t xml:space="preserve"> </w:t>
      </w:r>
      <w:r w:rsidR="00CA59BA">
        <w:t xml:space="preserve">2026 </w:t>
      </w:r>
      <w:r>
        <w:t xml:space="preserve">is presented below. </w:t>
      </w:r>
    </w:p>
    <w:p w14:paraId="07201DB3" w14:textId="6CFCFA9C" w:rsidR="00C96874" w:rsidRDefault="00C96874" w:rsidP="00810E6A">
      <w:pPr>
        <w:pStyle w:val="StyleCaptionCentered"/>
      </w:pPr>
      <w:bookmarkStart w:id="200" w:name="_Ref518473021"/>
      <w:bookmarkStart w:id="201" w:name="_Toc72918055"/>
      <w:bookmarkStart w:id="202" w:name="_Toc106568672"/>
      <w:bookmarkStart w:id="203" w:name="_Toc143179948"/>
      <w:r>
        <w:t xml:space="preserve">Table </w:t>
      </w:r>
      <w:r>
        <w:fldChar w:fldCharType="begin"/>
      </w:r>
      <w:r>
        <w:instrText xml:space="preserve"> SEQ Table \* ARABIC </w:instrText>
      </w:r>
      <w:r>
        <w:fldChar w:fldCharType="separate"/>
      </w:r>
      <w:r w:rsidR="00727B66">
        <w:rPr>
          <w:noProof/>
        </w:rPr>
        <w:t>11</w:t>
      </w:r>
      <w:r>
        <w:rPr>
          <w:noProof/>
        </w:rPr>
        <w:fldChar w:fldCharType="end"/>
      </w:r>
      <w:bookmarkEnd w:id="200"/>
      <w:r>
        <w:t xml:space="preserve">: Kaduna State Medium Term Fiscal </w:t>
      </w:r>
      <w:r w:rsidR="00810E6A">
        <w:t>Framework</w:t>
      </w:r>
      <w:bookmarkEnd w:id="201"/>
      <w:bookmarkEnd w:id="202"/>
      <w:bookmarkEnd w:id="203"/>
    </w:p>
    <w:p w14:paraId="378303CF" w14:textId="4B78681A" w:rsidR="00E85323" w:rsidRDefault="00DA38EB" w:rsidP="00810E6A">
      <w:pPr>
        <w:pStyle w:val="StyleCaptionCentered"/>
      </w:pPr>
      <w:r w:rsidRPr="00DA38EB">
        <w:drawing>
          <wp:inline distT="0" distB="0" distL="0" distR="0" wp14:anchorId="6D55D28E" wp14:editId="099DA339">
            <wp:extent cx="5504815" cy="5626735"/>
            <wp:effectExtent l="0" t="0" r="635" b="0"/>
            <wp:docPr id="39285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04815" cy="5626735"/>
                    </a:xfrm>
                    <a:prstGeom prst="rect">
                      <a:avLst/>
                    </a:prstGeom>
                    <a:noFill/>
                    <a:ln>
                      <a:noFill/>
                    </a:ln>
                  </pic:spPr>
                </pic:pic>
              </a:graphicData>
            </a:graphic>
          </wp:inline>
        </w:drawing>
      </w:r>
    </w:p>
    <w:p w14:paraId="762011BF" w14:textId="77777777" w:rsidR="00C96874" w:rsidRPr="00A3596C" w:rsidRDefault="00C96874" w:rsidP="00E85323">
      <w:pPr>
        <w:pStyle w:val="StyleCaptionCentered"/>
      </w:pPr>
      <w:r w:rsidRPr="00D94CA1">
        <w:t xml:space="preserve"> </w:t>
      </w:r>
      <w:bookmarkStart w:id="204" w:name="_Toc106568636"/>
      <w:bookmarkStart w:id="205" w:name="_Toc143179805"/>
      <w:r>
        <w:t>Assumptions</w:t>
      </w:r>
      <w:bookmarkEnd w:id="204"/>
      <w:bookmarkEnd w:id="205"/>
    </w:p>
    <w:p w14:paraId="42F25EE1" w14:textId="1D644DDE" w:rsidR="00C96874" w:rsidRPr="00DA382D" w:rsidRDefault="00C96874" w:rsidP="00116D2A">
      <w:pPr>
        <w:pStyle w:val="NumberedPara"/>
        <w:tabs>
          <w:tab w:val="clear" w:pos="2127"/>
          <w:tab w:val="num" w:pos="1843"/>
        </w:tabs>
        <w:ind w:left="567"/>
      </w:pPr>
      <w:r w:rsidRPr="00DA382D">
        <w:rPr>
          <w:b/>
        </w:rPr>
        <w:t>Statutory Allocation</w:t>
      </w:r>
      <w:r w:rsidRPr="00DA382D">
        <w:t xml:space="preserve"> </w:t>
      </w:r>
      <w:r w:rsidR="00B44D81">
        <w:t>–</w:t>
      </w:r>
      <w:r w:rsidRPr="00DA382D">
        <w:t xml:space="preserve"> </w:t>
      </w:r>
      <w:r w:rsidR="00B44D81">
        <w:t xml:space="preserve">Statutory Allocation’s forecast is based on </w:t>
      </w:r>
      <w:r w:rsidR="00116D2A">
        <w:t xml:space="preserve">the </w:t>
      </w:r>
      <w:r w:rsidR="00B44D81">
        <w:t>elasticity of non-mineral revenue (Custom and Excise Duty &amp; Company Income Tax) using h</w:t>
      </w:r>
      <w:r w:rsidR="009C151F">
        <w:t>istorical data from 2013 to 202</w:t>
      </w:r>
      <w:r w:rsidR="004663ED">
        <w:t>2</w:t>
      </w:r>
      <w:r w:rsidR="00B44D81">
        <w:t xml:space="preserve"> and foreca</w:t>
      </w:r>
      <w:r w:rsidR="00193D79">
        <w:t>st for the period of 202</w:t>
      </w:r>
      <w:r w:rsidR="004663ED">
        <w:t>4</w:t>
      </w:r>
      <w:r w:rsidR="009C151F">
        <w:t xml:space="preserve"> – 202</w:t>
      </w:r>
      <w:r w:rsidR="004663ED">
        <w:t>6</w:t>
      </w:r>
      <w:r w:rsidR="00B44D81">
        <w:t xml:space="preserve"> using GDP growth rate and inflation.</w:t>
      </w:r>
      <w:r w:rsidR="00285C95">
        <w:t xml:space="preserve"> </w:t>
      </w:r>
      <w:r w:rsidR="00285C95" w:rsidRPr="00285C95">
        <w:t xml:space="preserve">Mineral revenues are based on the benchmarks and the current proportion of crude oil sales proceeds that are converted into fiscal resources. The budgeted figures for Statutory Allocation do not include any excess crude or other Federation Account receipts. It has taken into </w:t>
      </w:r>
      <w:r w:rsidR="004D5FF4">
        <w:t>cognizance</w:t>
      </w:r>
      <w:r w:rsidR="00285C95" w:rsidRPr="00285C95">
        <w:t xml:space="preserve"> the 0.005% deduction of </w:t>
      </w:r>
      <w:r w:rsidR="004D5FF4">
        <w:t xml:space="preserve">the </w:t>
      </w:r>
      <w:r w:rsidR="00285C95" w:rsidRPr="00285C95">
        <w:t>Police Trust Fund from both the Mineral and Non-Mineral Revenue.</w:t>
      </w:r>
      <w:r w:rsidR="00B44D81">
        <w:t xml:space="preserve"> </w:t>
      </w:r>
    </w:p>
    <w:p w14:paraId="672EB733" w14:textId="2A87742A" w:rsidR="00C96874" w:rsidRPr="00DA382D" w:rsidRDefault="00C96874" w:rsidP="00116D2A">
      <w:pPr>
        <w:pStyle w:val="NumberedPara"/>
        <w:tabs>
          <w:tab w:val="clear" w:pos="2127"/>
          <w:tab w:val="num" w:pos="1843"/>
        </w:tabs>
        <w:ind w:left="567"/>
      </w:pPr>
      <w:r w:rsidRPr="00DA382D">
        <w:rPr>
          <w:b/>
        </w:rPr>
        <w:t>VAT</w:t>
      </w:r>
      <w:r w:rsidRPr="00DA382D">
        <w:t xml:space="preserve"> - </w:t>
      </w:r>
      <w:r w:rsidR="00285C95" w:rsidRPr="00285C95">
        <w:t>The estimate for VAT is based on elasticity using 2013-20</w:t>
      </w:r>
      <w:r w:rsidR="00E2215A">
        <w:t>2</w:t>
      </w:r>
      <w:r w:rsidR="004663ED">
        <w:t>2</w:t>
      </w:r>
      <w:r w:rsidR="00285C95" w:rsidRPr="00285C95">
        <w:t xml:space="preserve"> actuals and 20</w:t>
      </w:r>
      <w:r w:rsidR="009C151F">
        <w:t>2</w:t>
      </w:r>
      <w:r w:rsidR="004663ED">
        <w:t>4</w:t>
      </w:r>
      <w:r w:rsidR="00285C95" w:rsidRPr="00285C95">
        <w:t>-202</w:t>
      </w:r>
      <w:r w:rsidR="004663ED">
        <w:t>6</w:t>
      </w:r>
      <w:r w:rsidR="00285C95" w:rsidRPr="00285C95">
        <w:t xml:space="preserve"> real GDP growth and inflation. Historical elasticities are calculated for the period 2013-20</w:t>
      </w:r>
      <w:r w:rsidR="00E2215A">
        <w:t>2</w:t>
      </w:r>
      <w:r w:rsidR="004663ED">
        <w:t>2</w:t>
      </w:r>
      <w:r w:rsidR="00285C95" w:rsidRPr="00285C95">
        <w:t xml:space="preserve">. </w:t>
      </w:r>
      <w:r w:rsidR="00310E50">
        <w:t xml:space="preserve">The 2020 Finance Bill increasing VAT from 5% to 7.5% and </w:t>
      </w:r>
      <w:r w:rsidR="00653210">
        <w:t xml:space="preserve">an </w:t>
      </w:r>
      <w:r w:rsidR="00310E50">
        <w:t>a</w:t>
      </w:r>
      <w:r w:rsidR="00285C95" w:rsidRPr="00285C95">
        <w:t xml:space="preserve">dditional 3% deduction from VAT for </w:t>
      </w:r>
      <w:r w:rsidR="006478A3" w:rsidRPr="00285C95">
        <w:t>Northeast</w:t>
      </w:r>
      <w:r w:rsidR="00285C95" w:rsidRPr="00285C95">
        <w:t xml:space="preserve"> Development Company is </w:t>
      </w:r>
      <w:r w:rsidR="004D5FF4">
        <w:t>recognized</w:t>
      </w:r>
      <w:r w:rsidR="00285C95" w:rsidRPr="00285C95">
        <w:t xml:space="preserve">. </w:t>
      </w:r>
    </w:p>
    <w:p w14:paraId="06371B17" w14:textId="3AA4A018" w:rsidR="00C96874" w:rsidRPr="00DA382D" w:rsidRDefault="00C96874" w:rsidP="00116D2A">
      <w:pPr>
        <w:pStyle w:val="NumberedPara"/>
        <w:tabs>
          <w:tab w:val="clear" w:pos="2127"/>
          <w:tab w:val="num" w:pos="1843"/>
        </w:tabs>
        <w:ind w:left="567"/>
      </w:pPr>
      <w:r w:rsidRPr="00DA382D">
        <w:rPr>
          <w:b/>
        </w:rPr>
        <w:lastRenderedPageBreak/>
        <w:t>Excess Crude</w:t>
      </w:r>
      <w:r w:rsidRPr="00DA382D">
        <w:t xml:space="preserve"> - </w:t>
      </w:r>
      <w:r w:rsidR="00310E50" w:rsidRPr="00310E50">
        <w:t xml:space="preserve">There </w:t>
      </w:r>
      <w:r w:rsidR="00653210">
        <w:t>are</w:t>
      </w:r>
      <w:r w:rsidR="00310E50" w:rsidRPr="00310E50">
        <w:t xml:space="preserve"> no provisions for revenue from excess crude</w:t>
      </w:r>
      <w:r w:rsidR="00310E50">
        <w:t xml:space="preserve"> because Excess Crude is a kind of stabilization fund that is distributed at discretion </w:t>
      </w:r>
      <w:r w:rsidR="007E5B35">
        <w:t>to</w:t>
      </w:r>
      <w:r w:rsidR="00310E50">
        <w:t xml:space="preserve"> the Federal Government and States or when the economy needs to be supported to cushion the effect of recession or economic </w:t>
      </w:r>
      <w:r w:rsidR="004D5FF4">
        <w:t>downturn</w:t>
      </w:r>
      <w:r w:rsidR="00310E50">
        <w:t xml:space="preserve">. This makes it not reasonable to budget or forecast excess crude. </w:t>
      </w:r>
    </w:p>
    <w:p w14:paraId="0800E07B" w14:textId="2947DBFB" w:rsidR="00C96874" w:rsidRPr="00E430A4" w:rsidRDefault="00C96874" w:rsidP="00116D2A">
      <w:pPr>
        <w:pStyle w:val="NumberedPara"/>
        <w:tabs>
          <w:tab w:val="clear" w:pos="2127"/>
          <w:tab w:val="num" w:pos="1843"/>
        </w:tabs>
        <w:ind w:left="567"/>
      </w:pPr>
      <w:r w:rsidRPr="00DA382D">
        <w:rPr>
          <w:b/>
        </w:rPr>
        <w:t>Internally Generated Revenue (IGR)</w:t>
      </w:r>
      <w:r w:rsidRPr="00DA382D">
        <w:t xml:space="preserve"> </w:t>
      </w:r>
      <w:r w:rsidR="00DD2637">
        <w:t>–</w:t>
      </w:r>
      <w:r w:rsidRPr="00DA382D">
        <w:t xml:space="preserve"> </w:t>
      </w:r>
      <w:r w:rsidR="00DD2637">
        <w:t>The</w:t>
      </w:r>
      <w:r w:rsidR="00DF493A">
        <w:t xml:space="preserve"> actual IGR collections for 2021</w:t>
      </w:r>
      <w:r w:rsidR="00193D79">
        <w:t xml:space="preserve"> was used to project for 202</w:t>
      </w:r>
      <w:r w:rsidR="004663ED">
        <w:t>4</w:t>
      </w:r>
      <w:r w:rsidR="00193D79">
        <w:t xml:space="preserve"> to 202</w:t>
      </w:r>
      <w:r w:rsidR="004663ED">
        <w:t>6</w:t>
      </w:r>
      <w:r w:rsidR="00DD2637">
        <w:t xml:space="preserve">. The State’s IGR has grown by more than </w:t>
      </w:r>
      <w:r w:rsidR="00860400">
        <w:t>3</w:t>
      </w:r>
      <w:r w:rsidR="00DD2637">
        <w:t>00% since 2015. The St</w:t>
      </w:r>
      <w:r w:rsidR="00193D79">
        <w:t>ate recorded an increase of 4</w:t>
      </w:r>
      <w:r w:rsidR="001A5E6C">
        <w:t>5</w:t>
      </w:r>
      <w:r w:rsidR="00193D79">
        <w:t>% in its 202</w:t>
      </w:r>
      <w:r w:rsidR="001A5E6C">
        <w:t>2</w:t>
      </w:r>
      <w:r w:rsidR="00193D79">
        <w:t xml:space="preserve"> IGR as compared with 202</w:t>
      </w:r>
      <w:r w:rsidR="001A5E6C">
        <w:t>1</w:t>
      </w:r>
      <w:r w:rsidR="00DD2637">
        <w:t xml:space="preserve"> actual</w:t>
      </w:r>
      <w:r w:rsidR="00193D79">
        <w:t xml:space="preserve"> collections</w:t>
      </w:r>
      <w:r w:rsidR="00DD2637">
        <w:t xml:space="preserve">. The State has continually </w:t>
      </w:r>
      <w:r w:rsidR="003B58A4">
        <w:t>outperformed</w:t>
      </w:r>
      <w:r w:rsidR="00DD2637">
        <w:t xml:space="preserve"> its budget figures </w:t>
      </w:r>
      <w:r w:rsidR="004D5FF4">
        <w:t>for</w:t>
      </w:r>
      <w:r w:rsidR="00DD2637">
        <w:t xml:space="preserve"> IGR in recent years. This is mainly due to</w:t>
      </w:r>
      <w:r w:rsidR="003B58A4">
        <w:t xml:space="preserve"> the political will of the government to increase IGR over</w:t>
      </w:r>
      <w:r w:rsidR="007E5B35">
        <w:t xml:space="preserve"> </w:t>
      </w:r>
      <w:r w:rsidR="003B58A4">
        <w:t>time an</w:t>
      </w:r>
      <w:r w:rsidR="004243C4">
        <w:t>d</w:t>
      </w:r>
      <w:r w:rsidR="003B58A4">
        <w:t xml:space="preserve"> be independent of Statutory Allocation in the long run. </w:t>
      </w:r>
    </w:p>
    <w:p w14:paraId="24B085AF" w14:textId="7A9F2E9E" w:rsidR="00C96874" w:rsidRPr="00897234" w:rsidRDefault="00C96874" w:rsidP="00116D2A">
      <w:pPr>
        <w:pStyle w:val="NumberedPara"/>
        <w:tabs>
          <w:tab w:val="clear" w:pos="2127"/>
          <w:tab w:val="num" w:pos="1843"/>
        </w:tabs>
        <w:ind w:left="567"/>
      </w:pPr>
      <w:r w:rsidRPr="00DA382D">
        <w:rPr>
          <w:b/>
        </w:rPr>
        <w:t>Grants</w:t>
      </w:r>
      <w:r w:rsidRPr="00DA382D">
        <w:t xml:space="preserve"> </w:t>
      </w:r>
      <w:r w:rsidR="004243C4">
        <w:t>– Budgeting and forecasting Grants are usually very challenging because most of the receipts and expenditure</w:t>
      </w:r>
      <w:r w:rsidR="007E5B35">
        <w:t>s</w:t>
      </w:r>
      <w:r w:rsidR="004243C4">
        <w:t xml:space="preserve"> for grants are off</w:t>
      </w:r>
      <w:r w:rsidR="007E5B35">
        <w:t>-</w:t>
      </w:r>
      <w:r w:rsidR="004243C4">
        <w:t xml:space="preserve">budget. They </w:t>
      </w:r>
      <w:r w:rsidR="007E5B35">
        <w:t>hardly</w:t>
      </w:r>
      <w:r w:rsidR="004243C4">
        <w:t xml:space="preserve"> go through the Office of the Accountant General of the State, usually</w:t>
      </w:r>
      <w:r w:rsidR="007E5B35">
        <w:t>, they</w:t>
      </w:r>
      <w:r w:rsidR="004243C4">
        <w:t xml:space="preserve"> go directly to Implementi</w:t>
      </w:r>
      <w:r w:rsidR="00DF493A">
        <w:t>ng Partners. The Budget for 202</w:t>
      </w:r>
      <w:r w:rsidR="004663ED">
        <w:t>4</w:t>
      </w:r>
      <w:r w:rsidR="00DF493A">
        <w:t xml:space="preserve"> to 202</w:t>
      </w:r>
      <w:r w:rsidR="004663ED">
        <w:t>6</w:t>
      </w:r>
      <w:r w:rsidR="004243C4">
        <w:t xml:space="preserve"> is based on bilateral engagement with the PFM Office. The grants captured are mostly BMGF, UN Systems, World Bank,</w:t>
      </w:r>
      <w:r w:rsidR="007E5B35">
        <w:t xml:space="preserve"> and </w:t>
      </w:r>
      <w:r w:rsidR="004D185B">
        <w:t>FCDO,</w:t>
      </w:r>
      <w:r w:rsidR="004243C4">
        <w:t xml:space="preserve"> who h</w:t>
      </w:r>
      <w:r w:rsidR="007E5B35">
        <w:t>ave</w:t>
      </w:r>
      <w:r w:rsidR="004243C4">
        <w:t xml:space="preserve"> forwarded their commitments. The grants are mostly </w:t>
      </w:r>
      <w:r w:rsidR="001308B8" w:rsidRPr="001308B8">
        <w:t xml:space="preserve">non-discretional, these funds are tied to the implementation of specific programs/projects. If the funds are not forthcoming, the programs/projects will not be implemented. </w:t>
      </w:r>
      <w:r w:rsidR="004243C4">
        <w:t xml:space="preserve"> </w:t>
      </w:r>
    </w:p>
    <w:p w14:paraId="23054A7D" w14:textId="1ACD19E5" w:rsidR="00C96874" w:rsidRPr="00DA382D" w:rsidRDefault="00C96874" w:rsidP="00116D2A">
      <w:pPr>
        <w:pStyle w:val="NumberedPara"/>
        <w:tabs>
          <w:tab w:val="clear" w:pos="2127"/>
          <w:tab w:val="num" w:pos="1843"/>
        </w:tabs>
        <w:ind w:left="567"/>
      </w:pPr>
      <w:r w:rsidRPr="00DA382D">
        <w:rPr>
          <w:b/>
        </w:rPr>
        <w:t>Miscellaneous Capital Receipts</w:t>
      </w:r>
      <w:r w:rsidRPr="00DA382D">
        <w:t xml:space="preserve"> -</w:t>
      </w:r>
      <w:r w:rsidR="001308B8">
        <w:t xml:space="preserve"> </w:t>
      </w:r>
      <w:r w:rsidR="001308B8" w:rsidRPr="001308B8">
        <w:t>Based on the sale of non-essential government houses</w:t>
      </w:r>
      <w:r w:rsidR="001308B8">
        <w:t>,</w:t>
      </w:r>
      <w:r w:rsidR="001308B8" w:rsidRPr="001308B8">
        <w:t xml:space="preserve"> the State still </w:t>
      </w:r>
      <w:r w:rsidR="004D5FF4">
        <w:t>expects</w:t>
      </w:r>
      <w:r w:rsidR="001308B8" w:rsidRPr="001308B8">
        <w:t xml:space="preserve"> </w:t>
      </w:r>
      <w:r w:rsidR="007E5B35">
        <w:t xml:space="preserve">a </w:t>
      </w:r>
      <w:r w:rsidR="001308B8" w:rsidRPr="001308B8">
        <w:t>negligible amount in the year 202</w:t>
      </w:r>
      <w:r w:rsidR="00DF493A">
        <w:t>3</w:t>
      </w:r>
      <w:r w:rsidR="001308B8" w:rsidRPr="001308B8">
        <w:t xml:space="preserve"> mostly based on non-compliance to the payment policy of</w:t>
      </w:r>
      <w:r w:rsidR="007E5B35">
        <w:t xml:space="preserve"> the</w:t>
      </w:r>
      <w:r w:rsidR="001308B8" w:rsidRPr="001308B8">
        <w:t xml:space="preserve"> Government</w:t>
      </w:r>
      <w:r w:rsidR="001308B8">
        <w:t xml:space="preserve"> or some houses that were confiscated and removed based on breaching some law of the State. </w:t>
      </w:r>
    </w:p>
    <w:p w14:paraId="421D87EE" w14:textId="3C991C70" w:rsidR="00C96874" w:rsidRPr="00DA382D" w:rsidRDefault="00C96874" w:rsidP="00116D2A">
      <w:pPr>
        <w:pStyle w:val="NumberedPara"/>
        <w:tabs>
          <w:tab w:val="clear" w:pos="2127"/>
          <w:tab w:val="num" w:pos="1843"/>
        </w:tabs>
        <w:ind w:left="567"/>
      </w:pPr>
      <w:r w:rsidRPr="00DA382D">
        <w:rPr>
          <w:b/>
        </w:rPr>
        <w:t>Financing (Loans)</w:t>
      </w:r>
      <w:r w:rsidRPr="00DA382D">
        <w:t xml:space="preserve"> - </w:t>
      </w:r>
      <w:r w:rsidR="001308B8" w:rsidRPr="001308B8">
        <w:t>The 2020</w:t>
      </w:r>
      <w:r w:rsidR="001308B8">
        <w:t xml:space="preserve"> and 2021</w:t>
      </w:r>
      <w:r w:rsidR="001308B8" w:rsidRPr="001308B8">
        <w:t xml:space="preserve"> budget</w:t>
      </w:r>
      <w:r w:rsidR="001308B8">
        <w:t>s</w:t>
      </w:r>
      <w:r w:rsidR="001308B8" w:rsidRPr="001308B8">
        <w:t xml:space="preserve"> </w:t>
      </w:r>
      <w:r w:rsidR="001308B8">
        <w:t>are</w:t>
      </w:r>
      <w:r w:rsidR="001308B8" w:rsidRPr="001308B8">
        <w:t xml:space="preserve"> greatly influenced by the World Bank PforR credit facility. Priority Projects especially from the Kaduna State Urban Renewal Programme </w:t>
      </w:r>
      <w:r w:rsidR="001308B8">
        <w:t>are</w:t>
      </w:r>
      <w:r w:rsidR="001308B8" w:rsidRPr="001308B8">
        <w:t xml:space="preserve"> financed from the World Bank Loan which will spill over to 202</w:t>
      </w:r>
      <w:r w:rsidR="00DF493A">
        <w:t>3 and even 2025</w:t>
      </w:r>
      <w:r w:rsidR="001308B8">
        <w:t xml:space="preserve"> as some contracts were recently signed</w:t>
      </w:r>
      <w:r w:rsidR="001308B8" w:rsidRPr="001308B8">
        <w:t xml:space="preserve">. Other Loans apart from the World Bank Loan are expected to finance the Budget. A schedule of estimated capital receipts is captured in Annex 1. </w:t>
      </w:r>
    </w:p>
    <w:p w14:paraId="01F49B84" w14:textId="623F51C1" w:rsidR="00C96874" w:rsidRPr="00DA382D" w:rsidRDefault="00C96874" w:rsidP="00116D2A">
      <w:pPr>
        <w:pStyle w:val="NumberedPara"/>
        <w:tabs>
          <w:tab w:val="clear" w:pos="2127"/>
          <w:tab w:val="num" w:pos="1843"/>
        </w:tabs>
        <w:ind w:left="567"/>
      </w:pPr>
      <w:r w:rsidRPr="00DA382D">
        <w:rPr>
          <w:b/>
        </w:rPr>
        <w:t xml:space="preserve">Personnel </w:t>
      </w:r>
      <w:r>
        <w:t>–</w:t>
      </w:r>
      <w:r w:rsidRPr="00DA382D">
        <w:t xml:space="preserve"> </w:t>
      </w:r>
      <w:r w:rsidR="00451E34" w:rsidRPr="00451E34">
        <w:t xml:space="preserve">The sudden removal of fuel subsidy on May 29, 2023, one month ahead of the planned removal date of June 30, 2023, has led to a sharp increase in the costs of transportation and other consumer goods. This has triggered agitations by the leading Labour Unions for an increase </w:t>
      </w:r>
      <w:r w:rsidR="004D5FF4">
        <w:t>in</w:t>
      </w:r>
      <w:r w:rsidR="00451E34" w:rsidRPr="00451E34">
        <w:t xml:space="preserve"> the national minimum wage, as well as </w:t>
      </w:r>
      <w:r w:rsidR="004D5FF4">
        <w:t xml:space="preserve">the </w:t>
      </w:r>
      <w:r w:rsidR="00451E34" w:rsidRPr="00451E34">
        <w:t xml:space="preserve">provision of other palliatives to cushion </w:t>
      </w:r>
      <w:r w:rsidR="004D5FF4">
        <w:t xml:space="preserve">the </w:t>
      </w:r>
      <w:r w:rsidR="00451E34" w:rsidRPr="00451E34">
        <w:t>effects of the subsidy removal on citizens, especially workers. Hence, Personnel costs will be higher in 2024 in view of an imminent upward review of the minimum wage.</w:t>
      </w:r>
    </w:p>
    <w:p w14:paraId="1FFED991" w14:textId="32A8F018" w:rsidR="00C96874" w:rsidRDefault="00C96874" w:rsidP="00116D2A">
      <w:pPr>
        <w:pStyle w:val="NumberedPara"/>
        <w:tabs>
          <w:tab w:val="clear" w:pos="2127"/>
          <w:tab w:val="num" w:pos="1843"/>
        </w:tabs>
        <w:ind w:left="567"/>
      </w:pPr>
      <w:r w:rsidRPr="00DA382D">
        <w:rPr>
          <w:b/>
        </w:rPr>
        <w:t xml:space="preserve">Overheads </w:t>
      </w:r>
      <w:r>
        <w:t>–</w:t>
      </w:r>
      <w:r w:rsidRPr="00DA382D">
        <w:t xml:space="preserve"> </w:t>
      </w:r>
      <w:r w:rsidR="00451E34" w:rsidRPr="00451E34">
        <w:t>With the Kaduna State MoM inflation rate at an all-time high of 22.49% as at May 2023, as well as the impact removal of energy subsidies (PMS and electricity from July 1, 2023) have had on consumer prices, the operational costs of government have increased significantly. Thus, 2024 will certainly see a very high increase in overheads compared to previous years.</w:t>
      </w:r>
    </w:p>
    <w:p w14:paraId="3F084EDD" w14:textId="6CAA79EC" w:rsidR="00580044" w:rsidRPr="0004484E" w:rsidRDefault="00580044" w:rsidP="00116D2A">
      <w:pPr>
        <w:pStyle w:val="NumberedPara"/>
        <w:tabs>
          <w:tab w:val="clear" w:pos="2127"/>
          <w:tab w:val="num" w:pos="1843"/>
        </w:tabs>
        <w:ind w:left="567"/>
      </w:pPr>
      <w:r>
        <w:rPr>
          <w:b/>
        </w:rPr>
        <w:t xml:space="preserve">Social Benefits – </w:t>
      </w:r>
      <w:r w:rsidR="00451E34" w:rsidRPr="00451E34">
        <w:rPr>
          <w:bCs/>
        </w:rPr>
        <w:t>The immediate past administration commenced a holistic review of minimum pensions receivable by pensioners under the Defined Benefits Scheme in the State. However, the exercise was not completed before the end of the administration’s tenure, but given the cost-of-living realities, it is very likely the new government will consider an upward review of pensions, which will also impact overhead costs.</w:t>
      </w:r>
    </w:p>
    <w:p w14:paraId="67FE798D" w14:textId="4C1FFFD7" w:rsidR="00580044" w:rsidRPr="00673630" w:rsidRDefault="00580044" w:rsidP="00116D2A">
      <w:pPr>
        <w:pStyle w:val="NumberedPara"/>
        <w:tabs>
          <w:tab w:val="clear" w:pos="2127"/>
          <w:tab w:val="num" w:pos="1843"/>
        </w:tabs>
        <w:ind w:left="567"/>
      </w:pPr>
      <w:r>
        <w:rPr>
          <w:b/>
        </w:rPr>
        <w:t xml:space="preserve">Debt Service – </w:t>
      </w:r>
      <w:r w:rsidR="00673630" w:rsidRPr="00673630">
        <w:rPr>
          <w:bCs/>
        </w:rPr>
        <w:t xml:space="preserve">Kaduna's ability to cover debt service with its operating balance may weaken unexpectedly. This may be due to lower-than-expected revenue, higher-than-expected expenditure, or an unexpected rise in liabilities or debt-service requirements. </w:t>
      </w:r>
    </w:p>
    <w:p w14:paraId="093BB11F" w14:textId="042C24F5" w:rsidR="00673630" w:rsidRPr="00673630" w:rsidRDefault="00673630" w:rsidP="00673630">
      <w:pPr>
        <w:pStyle w:val="Caption"/>
        <w:rPr>
          <w:b w:val="0"/>
        </w:rPr>
      </w:pPr>
      <w:bookmarkStart w:id="206" w:name="_Toc143179931"/>
      <w:r>
        <w:lastRenderedPageBreak/>
        <w:t xml:space="preserve">Figure </w:t>
      </w:r>
      <w:r>
        <w:fldChar w:fldCharType="begin"/>
      </w:r>
      <w:r>
        <w:instrText xml:space="preserve"> SEQ Figure \* ARABIC </w:instrText>
      </w:r>
      <w:r>
        <w:fldChar w:fldCharType="separate"/>
      </w:r>
      <w:r w:rsidR="00727B66">
        <w:rPr>
          <w:noProof/>
        </w:rPr>
        <w:t>27</w:t>
      </w:r>
      <w:r>
        <w:fldChar w:fldCharType="end"/>
      </w:r>
      <w:r>
        <w:t xml:space="preserve">: </w:t>
      </w:r>
      <w:r w:rsidRPr="00415608">
        <w:rPr>
          <w:noProof/>
        </w:rPr>
        <w:t>Kaduna State Total Debt Service Actuals and Projections</w:t>
      </w:r>
      <w:bookmarkEnd w:id="206"/>
    </w:p>
    <w:p w14:paraId="3766D18D" w14:textId="366C1309" w:rsidR="00673630" w:rsidRDefault="00673630" w:rsidP="00673630">
      <w:pPr>
        <w:pStyle w:val="NumberedPara"/>
        <w:numPr>
          <w:ilvl w:val="0"/>
          <w:numId w:val="0"/>
        </w:numPr>
        <w:ind w:left="567"/>
      </w:pPr>
      <w:r w:rsidRPr="00673630">
        <w:rPr>
          <w:noProof/>
          <w:lang w:val="en-US" w:eastAsia="en-US"/>
        </w:rPr>
        <w:drawing>
          <wp:inline distT="0" distB="0" distL="0" distR="0" wp14:anchorId="352F0F58" wp14:editId="603C48DA">
            <wp:extent cx="5019523" cy="3164619"/>
            <wp:effectExtent l="0" t="0" r="0" b="0"/>
            <wp:docPr id="2125095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5510" cy="3168393"/>
                    </a:xfrm>
                    <a:prstGeom prst="rect">
                      <a:avLst/>
                    </a:prstGeom>
                    <a:noFill/>
                    <a:ln>
                      <a:noFill/>
                    </a:ln>
                  </pic:spPr>
                </pic:pic>
              </a:graphicData>
            </a:graphic>
          </wp:inline>
        </w:drawing>
      </w:r>
    </w:p>
    <w:p w14:paraId="1C81ED79" w14:textId="77777777" w:rsidR="00673630" w:rsidRPr="00673630" w:rsidRDefault="00673630" w:rsidP="00673630">
      <w:pPr>
        <w:spacing w:after="60"/>
        <w:jc w:val="both"/>
        <w:rPr>
          <w:i/>
          <w:sz w:val="16"/>
          <w:szCs w:val="16"/>
        </w:rPr>
      </w:pPr>
      <w:r w:rsidRPr="00673630">
        <w:rPr>
          <w:i/>
          <w:sz w:val="16"/>
          <w:szCs w:val="16"/>
        </w:rPr>
        <w:t>Source: 2022 DSA Projection</w:t>
      </w:r>
    </w:p>
    <w:p w14:paraId="0EED5584" w14:textId="79984FDC" w:rsidR="00C96874" w:rsidRPr="00DA382D" w:rsidRDefault="00673630" w:rsidP="00673630">
      <w:pPr>
        <w:pStyle w:val="NumberedPara"/>
        <w:numPr>
          <w:ilvl w:val="0"/>
          <w:numId w:val="0"/>
        </w:numPr>
        <w:ind w:left="567"/>
      </w:pPr>
      <w:r w:rsidRPr="00673630">
        <w:t>Kaduna's revenue structure is influenced by the state's weak socioeconomic profile and reliance on volatile transfers from the federal government. The State has broad responsibilities and high spending needs, and capital expenditure plays a key role in developing the local economy.</w:t>
      </w:r>
      <w:r w:rsidR="00422888">
        <w:t xml:space="preserve"> </w:t>
      </w:r>
      <w:r w:rsidR="00C96874" w:rsidRPr="00DA382D">
        <w:rPr>
          <w:b/>
        </w:rPr>
        <w:t>Contingency and Planning Reserves</w:t>
      </w:r>
      <w:r w:rsidR="00C96874" w:rsidRPr="00DA382D">
        <w:t xml:space="preserve"> - </w:t>
      </w:r>
      <w:r w:rsidR="00E0313D" w:rsidRPr="00E0313D">
        <w:t>No provision is made for contingency and Planning Reserves.</w:t>
      </w:r>
    </w:p>
    <w:p w14:paraId="41F65828" w14:textId="08E5596D" w:rsidR="00C96874" w:rsidRDefault="00C96874" w:rsidP="00116D2A">
      <w:pPr>
        <w:pStyle w:val="NumberedPara"/>
        <w:tabs>
          <w:tab w:val="clear" w:pos="2127"/>
          <w:tab w:val="num" w:pos="1843"/>
        </w:tabs>
        <w:ind w:left="567"/>
      </w:pPr>
      <w:r w:rsidRPr="00DA382D">
        <w:rPr>
          <w:b/>
        </w:rPr>
        <w:t>Capital Expenditure</w:t>
      </w:r>
      <w:r>
        <w:t xml:space="preserve"> -</w:t>
      </w:r>
      <w:r w:rsidR="00E0313D">
        <w:t xml:space="preserve"> </w:t>
      </w:r>
      <w:r w:rsidR="00E0313D" w:rsidRPr="00E0313D">
        <w:t xml:space="preserve">This is based on recurrent account surplus plus Capital receipts, </w:t>
      </w:r>
      <w:r w:rsidR="004D5FF4" w:rsidRPr="00E0313D">
        <w:t>i.e.,</w:t>
      </w:r>
      <w:r w:rsidR="00E0313D" w:rsidRPr="00E0313D">
        <w:t xml:space="preserve"> </w:t>
      </w:r>
      <w:proofErr w:type="gramStart"/>
      <w:r w:rsidR="00E0313D" w:rsidRPr="00E0313D">
        <w:t>internal</w:t>
      </w:r>
      <w:proofErr w:type="gramEnd"/>
      <w:r w:rsidR="00E0313D" w:rsidRPr="00E0313D">
        <w:t xml:space="preserve"> and external grants, internal and external loans as well as other capital receipts.  Capital expenditure </w:t>
      </w:r>
      <w:r w:rsidR="00832D81">
        <w:t>as</w:t>
      </w:r>
      <w:r w:rsidR="00E0313D" w:rsidRPr="00E0313D">
        <w:t xml:space="preserve"> budgeted </w:t>
      </w:r>
      <w:r w:rsidR="00E0313D">
        <w:t xml:space="preserve">is more than </w:t>
      </w:r>
      <w:r w:rsidR="00E0313D" w:rsidRPr="00E0313D">
        <w:t>60% of total expenditure in 202</w:t>
      </w:r>
      <w:r w:rsidR="00510254">
        <w:t>2</w:t>
      </w:r>
      <w:r w:rsidR="00E0313D" w:rsidRPr="00E0313D">
        <w:t>. Priority to CAPEX will continue into 202</w:t>
      </w:r>
      <w:r w:rsidR="00D86D03">
        <w:t>4</w:t>
      </w:r>
      <w:r w:rsidR="00E0313D" w:rsidRPr="00E0313D">
        <w:t xml:space="preserve"> – 202</w:t>
      </w:r>
      <w:r w:rsidR="00D86D03">
        <w:t>6</w:t>
      </w:r>
      <w:r w:rsidR="00E0313D" w:rsidRPr="00E0313D">
        <w:t xml:space="preserve"> as we see a ratio of at least 60% for CAPEX and 40% for Recurrent Expenditure</w:t>
      </w:r>
      <w:r w:rsidR="00E0313D">
        <w:t>.</w:t>
      </w:r>
    </w:p>
    <w:p w14:paraId="5482EC1C" w14:textId="5463C236" w:rsidR="00510254" w:rsidRDefault="00E126A5" w:rsidP="00510254">
      <w:pPr>
        <w:pStyle w:val="NumberedPara"/>
        <w:numPr>
          <w:ilvl w:val="0"/>
          <w:numId w:val="0"/>
        </w:numPr>
        <w:ind w:left="426"/>
        <w:sectPr w:rsidR="00510254" w:rsidSect="004F57E5">
          <w:pgSz w:w="11906" w:h="16838" w:code="9"/>
          <w:pgMar w:top="1440" w:right="1797" w:bottom="1258" w:left="1440" w:header="709" w:footer="709" w:gutter="0"/>
          <w:cols w:space="708"/>
          <w:docGrid w:linePitch="360"/>
        </w:sectPr>
      </w:pPr>
      <w:r>
        <w:t>S</w:t>
      </w:r>
    </w:p>
    <w:p w14:paraId="4A3663E7" w14:textId="77777777" w:rsidR="00510254" w:rsidRDefault="00C96874" w:rsidP="00E34B4C">
      <w:pPr>
        <w:pStyle w:val="Heading2"/>
      </w:pPr>
      <w:bookmarkStart w:id="207" w:name="_Toc14448431"/>
      <w:bookmarkStart w:id="208" w:name="_Toc106568637"/>
      <w:bookmarkStart w:id="209" w:name="_Toc143179806"/>
      <w:r>
        <w:lastRenderedPageBreak/>
        <w:t>Fiscal Trend</w:t>
      </w:r>
      <w:bookmarkEnd w:id="207"/>
      <w:bookmarkEnd w:id="208"/>
      <w:bookmarkEnd w:id="209"/>
    </w:p>
    <w:p w14:paraId="7C4F692C" w14:textId="1E8204A8" w:rsidR="00C96874" w:rsidRPr="00510254" w:rsidRDefault="00C96874" w:rsidP="00510254">
      <w:pPr>
        <w:jc w:val="center"/>
        <w:rPr>
          <w:b/>
        </w:rPr>
      </w:pPr>
      <w:bookmarkStart w:id="210" w:name="_Toc107777911"/>
      <w:bookmarkStart w:id="211" w:name="_Toc143179932"/>
      <w:r w:rsidRPr="00510254">
        <w:rPr>
          <w:b/>
        </w:rPr>
        <w:t xml:space="preserve">Figure </w:t>
      </w:r>
      <w:r w:rsidRPr="00510254">
        <w:rPr>
          <w:b/>
        </w:rPr>
        <w:fldChar w:fldCharType="begin"/>
      </w:r>
      <w:r w:rsidRPr="00510254">
        <w:rPr>
          <w:b/>
        </w:rPr>
        <w:instrText xml:space="preserve"> SEQ Figure \* ARABIC </w:instrText>
      </w:r>
      <w:r w:rsidRPr="00510254">
        <w:rPr>
          <w:b/>
        </w:rPr>
        <w:fldChar w:fldCharType="separate"/>
      </w:r>
      <w:r w:rsidR="00727B66">
        <w:rPr>
          <w:b/>
          <w:noProof/>
        </w:rPr>
        <w:t>28</w:t>
      </w:r>
      <w:r w:rsidRPr="00510254">
        <w:rPr>
          <w:b/>
          <w:noProof/>
        </w:rPr>
        <w:fldChar w:fldCharType="end"/>
      </w:r>
      <w:r w:rsidRPr="00510254">
        <w:rPr>
          <w:b/>
        </w:rPr>
        <w:t>:</w:t>
      </w:r>
      <w:r w:rsidR="00C873C4">
        <w:rPr>
          <w:b/>
        </w:rPr>
        <w:t xml:space="preserve"> </w:t>
      </w:r>
      <w:r w:rsidRPr="00510254">
        <w:rPr>
          <w:b/>
        </w:rPr>
        <w:t>Kaduna State Revenue Trend</w:t>
      </w:r>
      <w:bookmarkEnd w:id="210"/>
      <w:bookmarkEnd w:id="211"/>
    </w:p>
    <w:p w14:paraId="0D82A630" w14:textId="43ADA652" w:rsidR="00C96874" w:rsidRDefault="00AD52AA" w:rsidP="00C96874">
      <w:pPr>
        <w:jc w:val="center"/>
      </w:pPr>
      <w:r w:rsidRPr="00AD52AA">
        <w:drawing>
          <wp:inline distT="0" distB="0" distL="0" distR="0" wp14:anchorId="10585BC5" wp14:editId="1508CECE">
            <wp:extent cx="8863330" cy="4476115"/>
            <wp:effectExtent l="0" t="0" r="0" b="635"/>
            <wp:docPr id="1967320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63330" cy="4476115"/>
                    </a:xfrm>
                    <a:prstGeom prst="rect">
                      <a:avLst/>
                    </a:prstGeom>
                    <a:noFill/>
                    <a:ln>
                      <a:noFill/>
                    </a:ln>
                  </pic:spPr>
                </pic:pic>
              </a:graphicData>
            </a:graphic>
          </wp:inline>
        </w:drawing>
      </w:r>
    </w:p>
    <w:p w14:paraId="682E33CF" w14:textId="3352D6F0" w:rsidR="00C96874" w:rsidRDefault="00C96874" w:rsidP="004F2923">
      <w:pPr>
        <w:pStyle w:val="StyleCaptionCentered"/>
        <w:tabs>
          <w:tab w:val="left" w:pos="2410"/>
        </w:tabs>
      </w:pPr>
      <w:r>
        <w:br w:type="page"/>
      </w:r>
      <w:bookmarkStart w:id="212" w:name="_Toc107777912"/>
      <w:bookmarkStart w:id="213" w:name="_Toc143179933"/>
      <w:r>
        <w:lastRenderedPageBreak/>
        <w:t xml:space="preserve">Figure </w:t>
      </w:r>
      <w:r>
        <w:fldChar w:fldCharType="begin"/>
      </w:r>
      <w:r>
        <w:instrText xml:space="preserve"> SEQ Figure \* ARABIC </w:instrText>
      </w:r>
      <w:r>
        <w:fldChar w:fldCharType="separate"/>
      </w:r>
      <w:r w:rsidR="00727B66">
        <w:rPr>
          <w:noProof/>
        </w:rPr>
        <w:t>29</w:t>
      </w:r>
      <w:r>
        <w:rPr>
          <w:noProof/>
        </w:rPr>
        <w:fldChar w:fldCharType="end"/>
      </w:r>
      <w:r>
        <w:t>: Kaduna State Expenditure Trend</w:t>
      </w:r>
      <w:bookmarkEnd w:id="212"/>
      <w:bookmarkEnd w:id="213"/>
    </w:p>
    <w:p w14:paraId="77943F49" w14:textId="29C14CCD" w:rsidR="00C96874" w:rsidRDefault="00AD52AA" w:rsidP="00C96874">
      <w:pPr>
        <w:pStyle w:val="StyleCaptionCentered"/>
      </w:pPr>
      <w:r w:rsidRPr="00AD52AA">
        <w:drawing>
          <wp:inline distT="0" distB="0" distL="0" distR="0" wp14:anchorId="264C1631" wp14:editId="29B07C35">
            <wp:extent cx="8863330" cy="4417060"/>
            <wp:effectExtent l="0" t="0" r="0" b="2540"/>
            <wp:docPr id="434281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63330" cy="4417060"/>
                    </a:xfrm>
                    <a:prstGeom prst="rect">
                      <a:avLst/>
                    </a:prstGeom>
                    <a:noFill/>
                    <a:ln>
                      <a:noFill/>
                    </a:ln>
                  </pic:spPr>
                </pic:pic>
              </a:graphicData>
            </a:graphic>
          </wp:inline>
        </w:drawing>
      </w:r>
    </w:p>
    <w:p w14:paraId="0D4CCC9B" w14:textId="77777777" w:rsidR="00C96874" w:rsidRDefault="00C96874" w:rsidP="00C96874">
      <w:pPr>
        <w:pStyle w:val="StyleCaptionCentered"/>
        <w:sectPr w:rsidR="00C96874" w:rsidSect="004F57E5">
          <w:pgSz w:w="16838" w:h="11906" w:orient="landscape" w:code="9"/>
          <w:pgMar w:top="1440" w:right="1440" w:bottom="1797" w:left="1440" w:header="709" w:footer="709" w:gutter="0"/>
          <w:cols w:space="708"/>
          <w:docGrid w:linePitch="360"/>
        </w:sectPr>
      </w:pPr>
    </w:p>
    <w:p w14:paraId="56521E2A" w14:textId="77777777" w:rsidR="00C96874" w:rsidRDefault="00C96874" w:rsidP="00C96874">
      <w:pPr>
        <w:pStyle w:val="Heading2"/>
      </w:pPr>
      <w:bookmarkStart w:id="214" w:name="_Toc380047449"/>
      <w:bookmarkStart w:id="215" w:name="_Toc14448432"/>
      <w:bookmarkStart w:id="216" w:name="_Toc106568638"/>
      <w:bookmarkStart w:id="217" w:name="_Toc143179807"/>
      <w:bookmarkStart w:id="218" w:name="_Toc340045254"/>
      <w:bookmarkStart w:id="219" w:name="_Toc340053646"/>
      <w:r>
        <w:lastRenderedPageBreak/>
        <w:t>Fiscal Risks</w:t>
      </w:r>
      <w:bookmarkEnd w:id="214"/>
      <w:bookmarkEnd w:id="215"/>
      <w:bookmarkEnd w:id="216"/>
      <w:bookmarkEnd w:id="217"/>
    </w:p>
    <w:p w14:paraId="275C1284" w14:textId="77777777" w:rsidR="00C96874" w:rsidRDefault="00C96874" w:rsidP="004D5FF4">
      <w:pPr>
        <w:pStyle w:val="NumberedPara"/>
        <w:tabs>
          <w:tab w:val="clear" w:pos="2127"/>
        </w:tabs>
        <w:ind w:left="567"/>
      </w:pPr>
      <w:r>
        <w:t>The analysis and forecasting basis as laid out above implies some fiscal risks, including but not limited to.</w:t>
      </w:r>
    </w:p>
    <w:p w14:paraId="123F22F4" w14:textId="00F701F3" w:rsidR="00C96874" w:rsidRDefault="00C96874" w:rsidP="00C96874">
      <w:pPr>
        <w:pStyle w:val="Caption"/>
      </w:pPr>
      <w:bookmarkStart w:id="220" w:name="_Ref106575937"/>
      <w:bookmarkStart w:id="221" w:name="_Toc72918056"/>
      <w:bookmarkStart w:id="222" w:name="_Toc106568673"/>
      <w:bookmarkStart w:id="223" w:name="_Toc143179949"/>
      <w:r>
        <w:t xml:space="preserve">Table </w:t>
      </w:r>
      <w:r>
        <w:fldChar w:fldCharType="begin"/>
      </w:r>
      <w:r>
        <w:instrText xml:space="preserve"> SEQ Table \* ARABIC </w:instrText>
      </w:r>
      <w:r>
        <w:fldChar w:fldCharType="separate"/>
      </w:r>
      <w:r w:rsidR="00727B66">
        <w:rPr>
          <w:noProof/>
        </w:rPr>
        <w:t>12</w:t>
      </w:r>
      <w:r>
        <w:rPr>
          <w:noProof/>
        </w:rPr>
        <w:fldChar w:fldCharType="end"/>
      </w:r>
      <w:bookmarkEnd w:id="220"/>
      <w:r>
        <w:t>: Fiscal Risks</w:t>
      </w:r>
      <w:bookmarkEnd w:id="221"/>
      <w:bookmarkEnd w:id="222"/>
      <w:bookmarkEnd w:id="22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260"/>
        <w:gridCol w:w="1336"/>
        <w:gridCol w:w="4066"/>
      </w:tblGrid>
      <w:tr w:rsidR="00C96874" w:rsidRPr="007C02C2" w14:paraId="15D7BCFB" w14:textId="77777777" w:rsidTr="004F57E5">
        <w:tc>
          <w:tcPr>
            <w:tcW w:w="2410" w:type="dxa"/>
            <w:shd w:val="clear" w:color="auto" w:fill="00B0F0"/>
          </w:tcPr>
          <w:p w14:paraId="1B2CABAE" w14:textId="77777777" w:rsidR="00C96874" w:rsidRPr="007C02C2" w:rsidRDefault="00C96874" w:rsidP="004F57E5">
            <w:pPr>
              <w:rPr>
                <w:b/>
                <w:color w:val="FFFFFF"/>
              </w:rPr>
            </w:pPr>
            <w:r w:rsidRPr="007C02C2">
              <w:rPr>
                <w:b/>
                <w:color w:val="FFFFFF"/>
              </w:rPr>
              <w:t>Risk</w:t>
            </w:r>
          </w:p>
        </w:tc>
        <w:tc>
          <w:tcPr>
            <w:tcW w:w="1260" w:type="dxa"/>
            <w:shd w:val="clear" w:color="auto" w:fill="00B0F0"/>
          </w:tcPr>
          <w:p w14:paraId="1BC2FF2A" w14:textId="77777777" w:rsidR="00C96874" w:rsidRPr="007C02C2" w:rsidRDefault="00C96874" w:rsidP="004F57E5">
            <w:pPr>
              <w:rPr>
                <w:b/>
                <w:color w:val="FFFFFF"/>
              </w:rPr>
            </w:pPr>
            <w:r w:rsidRPr="007C02C2">
              <w:rPr>
                <w:b/>
                <w:color w:val="FFFFFF"/>
              </w:rPr>
              <w:t>Likelihood</w:t>
            </w:r>
          </w:p>
        </w:tc>
        <w:tc>
          <w:tcPr>
            <w:tcW w:w="1336" w:type="dxa"/>
            <w:shd w:val="clear" w:color="auto" w:fill="00B0F0"/>
          </w:tcPr>
          <w:p w14:paraId="22C3B6A4" w14:textId="77777777" w:rsidR="00C96874" w:rsidRPr="007C02C2" w:rsidRDefault="00C96874" w:rsidP="004F57E5">
            <w:pPr>
              <w:rPr>
                <w:b/>
                <w:color w:val="FFFFFF"/>
              </w:rPr>
            </w:pPr>
            <w:r>
              <w:rPr>
                <w:b/>
                <w:color w:val="FFFFFF"/>
              </w:rPr>
              <w:t>Impact</w:t>
            </w:r>
          </w:p>
        </w:tc>
        <w:tc>
          <w:tcPr>
            <w:tcW w:w="4066" w:type="dxa"/>
            <w:shd w:val="clear" w:color="auto" w:fill="00B0F0"/>
          </w:tcPr>
          <w:p w14:paraId="494276E3" w14:textId="77777777" w:rsidR="00C96874" w:rsidRPr="007C02C2" w:rsidRDefault="00C96874" w:rsidP="004F57E5">
            <w:pPr>
              <w:rPr>
                <w:b/>
                <w:color w:val="FFFFFF"/>
              </w:rPr>
            </w:pPr>
            <w:r w:rsidRPr="007C02C2">
              <w:rPr>
                <w:b/>
                <w:color w:val="FFFFFF"/>
              </w:rPr>
              <w:t>Reaction</w:t>
            </w:r>
          </w:p>
        </w:tc>
      </w:tr>
      <w:tr w:rsidR="00C96874" w14:paraId="67248D53" w14:textId="77777777" w:rsidTr="004F57E5">
        <w:tc>
          <w:tcPr>
            <w:tcW w:w="2410" w:type="dxa"/>
            <w:shd w:val="clear" w:color="auto" w:fill="auto"/>
          </w:tcPr>
          <w:p w14:paraId="1079ACD9" w14:textId="00820405" w:rsidR="00C96874" w:rsidRDefault="00193D79" w:rsidP="004F57E5">
            <w:pPr>
              <w:pStyle w:val="TableParagraph"/>
              <w:spacing w:before="60" w:after="60"/>
              <w:ind w:left="0" w:right="93"/>
              <w:rPr>
                <w:sz w:val="20"/>
              </w:rPr>
            </w:pPr>
            <w:r w:rsidRPr="00193D79">
              <w:rPr>
                <w:sz w:val="20"/>
              </w:rPr>
              <w:t>Russia-Ukraine war threat to high cost of imported goods</w:t>
            </w:r>
          </w:p>
        </w:tc>
        <w:tc>
          <w:tcPr>
            <w:tcW w:w="1260" w:type="dxa"/>
            <w:shd w:val="clear" w:color="auto" w:fill="auto"/>
          </w:tcPr>
          <w:p w14:paraId="26E8B522" w14:textId="12EC57DB" w:rsidR="00C96874" w:rsidRDefault="00193D79" w:rsidP="004F57E5">
            <w:pPr>
              <w:pStyle w:val="TableParagraph"/>
              <w:spacing w:before="60" w:after="60"/>
              <w:ind w:left="0"/>
              <w:rPr>
                <w:sz w:val="20"/>
              </w:rPr>
            </w:pPr>
            <w:r>
              <w:rPr>
                <w:sz w:val="20"/>
              </w:rPr>
              <w:t>High</w:t>
            </w:r>
          </w:p>
        </w:tc>
        <w:tc>
          <w:tcPr>
            <w:tcW w:w="1336" w:type="dxa"/>
          </w:tcPr>
          <w:p w14:paraId="4879AAF3" w14:textId="69DC24FF" w:rsidR="00C96874" w:rsidRDefault="00C96874" w:rsidP="004F57E5">
            <w:pPr>
              <w:pStyle w:val="TableParagraph"/>
              <w:spacing w:before="60" w:after="60"/>
              <w:ind w:left="0" w:right="110"/>
              <w:rPr>
                <w:sz w:val="20"/>
              </w:rPr>
            </w:pPr>
            <w:r>
              <w:rPr>
                <w:sz w:val="20"/>
              </w:rPr>
              <w:t>Shortfall in Statutory Allocation from FAAC</w:t>
            </w:r>
          </w:p>
          <w:p w14:paraId="7E9FFEB2" w14:textId="77777777" w:rsidR="00C96874" w:rsidRDefault="00C96874" w:rsidP="004F57E5">
            <w:pPr>
              <w:pStyle w:val="TableParagraph"/>
              <w:spacing w:before="60" w:after="60"/>
              <w:ind w:left="0" w:right="110"/>
              <w:rPr>
                <w:sz w:val="20"/>
              </w:rPr>
            </w:pPr>
            <w:r>
              <w:rPr>
                <w:sz w:val="20"/>
              </w:rPr>
              <w:t>(High)</w:t>
            </w:r>
          </w:p>
        </w:tc>
        <w:tc>
          <w:tcPr>
            <w:tcW w:w="4066" w:type="dxa"/>
            <w:shd w:val="clear" w:color="auto" w:fill="auto"/>
          </w:tcPr>
          <w:p w14:paraId="5AFAEB5F" w14:textId="7C30B4BD" w:rsidR="00C96874" w:rsidRDefault="00C96874" w:rsidP="004F57E5">
            <w:pPr>
              <w:pStyle w:val="TableParagraph"/>
              <w:spacing w:before="60" w:after="60"/>
              <w:ind w:left="0" w:right="104"/>
              <w:rPr>
                <w:sz w:val="20"/>
              </w:rPr>
            </w:pPr>
            <w:r>
              <w:rPr>
                <w:sz w:val="20"/>
              </w:rPr>
              <w:t xml:space="preserve">In the long term, Kaduna State would have to be less dependent on Statutory Allocation to fund its expenditure. This would be achieved through higher IGR collections. In the short term, capital projects would be </w:t>
            </w:r>
            <w:r w:rsidR="009875B9">
              <w:rPr>
                <w:sz w:val="20"/>
              </w:rPr>
              <w:t>prioritized,</w:t>
            </w:r>
            <w:r>
              <w:rPr>
                <w:sz w:val="20"/>
              </w:rPr>
              <w:t xml:space="preserve"> and overhead expenditure should be made flexible for reduction if </w:t>
            </w:r>
            <w:r w:rsidR="00832D81">
              <w:rPr>
                <w:sz w:val="20"/>
              </w:rPr>
              <w:t>short-term</w:t>
            </w:r>
            <w:r>
              <w:rPr>
                <w:sz w:val="20"/>
              </w:rPr>
              <w:t xml:space="preserve"> falls are further experienced. Also</w:t>
            </w:r>
            <w:r w:rsidR="00832D81">
              <w:rPr>
                <w:sz w:val="20"/>
              </w:rPr>
              <w:t>, the</w:t>
            </w:r>
            <w:r>
              <w:rPr>
                <w:sz w:val="20"/>
              </w:rPr>
              <w:t xml:space="preserve"> use of prudent mineral assumptions in the budget (below those used by </w:t>
            </w:r>
            <w:r w:rsidR="00832D81">
              <w:rPr>
                <w:sz w:val="20"/>
              </w:rPr>
              <w:t xml:space="preserve">the </w:t>
            </w:r>
            <w:r>
              <w:rPr>
                <w:sz w:val="20"/>
              </w:rPr>
              <w:t>Federal Government)</w:t>
            </w:r>
            <w:r w:rsidR="00832D81">
              <w:rPr>
                <w:sz w:val="20"/>
              </w:rPr>
              <w:t xml:space="preserve"> would be helpful.</w:t>
            </w:r>
          </w:p>
        </w:tc>
      </w:tr>
      <w:tr w:rsidR="00422888" w14:paraId="322C6AEF" w14:textId="77777777" w:rsidTr="004F57E5">
        <w:tc>
          <w:tcPr>
            <w:tcW w:w="2410" w:type="dxa"/>
            <w:shd w:val="clear" w:color="auto" w:fill="auto"/>
          </w:tcPr>
          <w:p w14:paraId="04D0C795" w14:textId="6DDB88EF" w:rsidR="00422888" w:rsidRPr="00193D79" w:rsidRDefault="00422888" w:rsidP="004F57E5">
            <w:pPr>
              <w:pStyle w:val="TableParagraph"/>
              <w:spacing w:before="60" w:after="60"/>
              <w:ind w:left="0" w:right="93"/>
              <w:rPr>
                <w:sz w:val="20"/>
              </w:rPr>
            </w:pPr>
            <w:r>
              <w:rPr>
                <w:sz w:val="20"/>
              </w:rPr>
              <w:t xml:space="preserve">High Security Tension in West Africa Sub-region (ECOWAS) </w:t>
            </w:r>
          </w:p>
        </w:tc>
        <w:tc>
          <w:tcPr>
            <w:tcW w:w="1260" w:type="dxa"/>
            <w:shd w:val="clear" w:color="auto" w:fill="auto"/>
          </w:tcPr>
          <w:p w14:paraId="58854A96" w14:textId="383A99AB" w:rsidR="00422888" w:rsidRDefault="00422888" w:rsidP="004F57E5">
            <w:pPr>
              <w:pStyle w:val="TableParagraph"/>
              <w:spacing w:before="60" w:after="60"/>
              <w:ind w:left="0"/>
              <w:rPr>
                <w:sz w:val="20"/>
              </w:rPr>
            </w:pPr>
            <w:r>
              <w:rPr>
                <w:sz w:val="20"/>
              </w:rPr>
              <w:t>High</w:t>
            </w:r>
          </w:p>
        </w:tc>
        <w:tc>
          <w:tcPr>
            <w:tcW w:w="1336" w:type="dxa"/>
          </w:tcPr>
          <w:p w14:paraId="01282F9F" w14:textId="77777777" w:rsidR="00422888" w:rsidRDefault="00422888" w:rsidP="004F57E5">
            <w:pPr>
              <w:pStyle w:val="TableParagraph"/>
              <w:spacing w:before="60" w:after="60"/>
              <w:ind w:left="0" w:right="110"/>
              <w:rPr>
                <w:sz w:val="20"/>
              </w:rPr>
            </w:pPr>
            <w:r>
              <w:rPr>
                <w:sz w:val="20"/>
              </w:rPr>
              <w:t>Shortfall in FAAC and IGR</w:t>
            </w:r>
          </w:p>
          <w:p w14:paraId="0C8B43D2" w14:textId="13E7572E" w:rsidR="00422888" w:rsidRDefault="00422888" w:rsidP="004F57E5">
            <w:pPr>
              <w:pStyle w:val="TableParagraph"/>
              <w:spacing w:before="60" w:after="60"/>
              <w:ind w:left="0" w:right="110"/>
              <w:rPr>
                <w:sz w:val="20"/>
              </w:rPr>
            </w:pPr>
            <w:r>
              <w:rPr>
                <w:sz w:val="20"/>
              </w:rPr>
              <w:t>(High)</w:t>
            </w:r>
          </w:p>
        </w:tc>
        <w:tc>
          <w:tcPr>
            <w:tcW w:w="4066" w:type="dxa"/>
            <w:shd w:val="clear" w:color="auto" w:fill="auto"/>
          </w:tcPr>
          <w:p w14:paraId="55B59545" w14:textId="4D2F313E" w:rsidR="00422888" w:rsidRDefault="00422888" w:rsidP="004F57E5">
            <w:pPr>
              <w:pStyle w:val="TableParagraph"/>
              <w:spacing w:before="60" w:after="60"/>
              <w:ind w:left="0" w:right="104"/>
              <w:rPr>
                <w:sz w:val="20"/>
              </w:rPr>
            </w:pPr>
            <w:r>
              <w:rPr>
                <w:sz w:val="20"/>
              </w:rPr>
              <w:t xml:space="preserve">The recent </w:t>
            </w:r>
            <w:r w:rsidR="001A5E6C">
              <w:rPr>
                <w:sz w:val="20"/>
              </w:rPr>
              <w:t>build-up</w:t>
            </w:r>
            <w:r>
              <w:rPr>
                <w:sz w:val="20"/>
              </w:rPr>
              <w:t xml:space="preserve"> of tension in West Africa Sub-region (ECOWAS) </w:t>
            </w:r>
            <w:proofErr w:type="gramStart"/>
            <w:r>
              <w:rPr>
                <w:sz w:val="20"/>
              </w:rPr>
              <w:t xml:space="preserve">as a result </w:t>
            </w:r>
            <w:r w:rsidR="00DF6F6B">
              <w:rPr>
                <w:sz w:val="20"/>
              </w:rPr>
              <w:t>of</w:t>
            </w:r>
            <w:proofErr w:type="gramEnd"/>
            <w:r w:rsidR="00DF6F6B">
              <w:rPr>
                <w:sz w:val="20"/>
              </w:rPr>
              <w:t xml:space="preserve"> </w:t>
            </w:r>
            <w:r>
              <w:rPr>
                <w:sz w:val="20"/>
              </w:rPr>
              <w:t>the Coup in Niger Republic and other Countries in the Sub-region such as Mali, Burkina Faso if further escalat</w:t>
            </w:r>
            <w:r w:rsidR="00DF6F6B">
              <w:rPr>
                <w:sz w:val="20"/>
              </w:rPr>
              <w:t>ed</w:t>
            </w:r>
            <w:r>
              <w:rPr>
                <w:sz w:val="20"/>
              </w:rPr>
              <w:t xml:space="preserve"> will deteriorate security and </w:t>
            </w:r>
            <w:r w:rsidR="00DF6F6B">
              <w:rPr>
                <w:sz w:val="20"/>
              </w:rPr>
              <w:t xml:space="preserve">result in loss of lives, livelihood and economic activities. </w:t>
            </w:r>
            <w:r>
              <w:rPr>
                <w:sz w:val="20"/>
              </w:rPr>
              <w:t xml:space="preserve">  </w:t>
            </w:r>
          </w:p>
        </w:tc>
      </w:tr>
      <w:tr w:rsidR="00C96874" w14:paraId="73F8E21C" w14:textId="77777777" w:rsidTr="004F57E5">
        <w:tc>
          <w:tcPr>
            <w:tcW w:w="2410" w:type="dxa"/>
            <w:shd w:val="clear" w:color="auto" w:fill="auto"/>
          </w:tcPr>
          <w:p w14:paraId="004EA5FD" w14:textId="1C9DC043" w:rsidR="00C96874" w:rsidRDefault="00C96874" w:rsidP="004F57E5">
            <w:pPr>
              <w:pStyle w:val="TableParagraph"/>
              <w:spacing w:before="60" w:after="60"/>
              <w:ind w:left="0" w:right="252"/>
              <w:rPr>
                <w:sz w:val="20"/>
              </w:rPr>
            </w:pPr>
            <w:r>
              <w:rPr>
                <w:sz w:val="20"/>
              </w:rPr>
              <w:t xml:space="preserve">Threat to security in Kaduna and </w:t>
            </w:r>
            <w:r w:rsidR="009875B9">
              <w:rPr>
                <w:sz w:val="20"/>
              </w:rPr>
              <w:t>neighbouring</w:t>
            </w:r>
            <w:r>
              <w:rPr>
                <w:sz w:val="20"/>
              </w:rPr>
              <w:t xml:space="preserve"> States which could reduce economic activity by taxpayers.</w:t>
            </w:r>
          </w:p>
        </w:tc>
        <w:tc>
          <w:tcPr>
            <w:tcW w:w="1260" w:type="dxa"/>
            <w:shd w:val="clear" w:color="auto" w:fill="auto"/>
          </w:tcPr>
          <w:p w14:paraId="64427F8C" w14:textId="77777777" w:rsidR="00C96874" w:rsidRDefault="00C96874" w:rsidP="004F57E5">
            <w:pPr>
              <w:pStyle w:val="TableParagraph"/>
              <w:spacing w:before="60" w:after="60"/>
              <w:ind w:left="0"/>
              <w:rPr>
                <w:sz w:val="20"/>
              </w:rPr>
            </w:pPr>
            <w:r>
              <w:rPr>
                <w:sz w:val="20"/>
              </w:rPr>
              <w:t>Medium</w:t>
            </w:r>
          </w:p>
        </w:tc>
        <w:tc>
          <w:tcPr>
            <w:tcW w:w="1336" w:type="dxa"/>
          </w:tcPr>
          <w:p w14:paraId="6624173E" w14:textId="77777777" w:rsidR="00C96874" w:rsidRDefault="00C96874" w:rsidP="004F57E5">
            <w:pPr>
              <w:pStyle w:val="TableParagraph"/>
              <w:spacing w:before="60" w:after="60"/>
              <w:ind w:left="0" w:right="223"/>
              <w:rPr>
                <w:sz w:val="20"/>
              </w:rPr>
            </w:pPr>
            <w:r>
              <w:rPr>
                <w:sz w:val="20"/>
              </w:rPr>
              <w:t xml:space="preserve">Reduced IGR and </w:t>
            </w:r>
            <w:r>
              <w:rPr>
                <w:w w:val="95"/>
                <w:sz w:val="20"/>
              </w:rPr>
              <w:t xml:space="preserve">increased </w:t>
            </w:r>
            <w:r>
              <w:rPr>
                <w:sz w:val="20"/>
              </w:rPr>
              <w:t>Overhead</w:t>
            </w:r>
          </w:p>
          <w:p w14:paraId="119C97A4" w14:textId="77777777" w:rsidR="00C96874" w:rsidRDefault="00C96874" w:rsidP="004F57E5">
            <w:pPr>
              <w:pStyle w:val="TableParagraph"/>
              <w:spacing w:before="60" w:after="60"/>
              <w:ind w:left="0" w:right="223"/>
              <w:rPr>
                <w:sz w:val="20"/>
              </w:rPr>
            </w:pPr>
            <w:r>
              <w:rPr>
                <w:sz w:val="20"/>
              </w:rPr>
              <w:t>(Medium)</w:t>
            </w:r>
          </w:p>
        </w:tc>
        <w:tc>
          <w:tcPr>
            <w:tcW w:w="4066" w:type="dxa"/>
            <w:shd w:val="clear" w:color="auto" w:fill="auto"/>
          </w:tcPr>
          <w:p w14:paraId="3F723A8E" w14:textId="58935F74" w:rsidR="00C96874" w:rsidRDefault="00C96874" w:rsidP="004F57E5">
            <w:pPr>
              <w:pStyle w:val="TableParagraph"/>
              <w:spacing w:before="60" w:after="60"/>
              <w:ind w:left="0" w:right="193"/>
              <w:rPr>
                <w:sz w:val="20"/>
              </w:rPr>
            </w:pPr>
            <w:r>
              <w:rPr>
                <w:sz w:val="20"/>
              </w:rPr>
              <w:t xml:space="preserve">Proactive engagement with Communities in the State and </w:t>
            </w:r>
            <w:r w:rsidR="009875B9">
              <w:rPr>
                <w:sz w:val="20"/>
              </w:rPr>
              <w:t>neighbouring</w:t>
            </w:r>
            <w:r>
              <w:rPr>
                <w:sz w:val="20"/>
              </w:rPr>
              <w:t xml:space="preserve"> States - through </w:t>
            </w:r>
            <w:r w:rsidR="00832D81">
              <w:rPr>
                <w:sz w:val="20"/>
              </w:rPr>
              <w:t xml:space="preserve">a </w:t>
            </w:r>
            <w:r>
              <w:rPr>
                <w:sz w:val="20"/>
              </w:rPr>
              <w:t>collaborative effort with the Ministry of Internal Security and Home Affairs, Northern Governor’s Forum, etc. – to reduce risk as well as</w:t>
            </w:r>
          </w:p>
          <w:p w14:paraId="1C3D3A79" w14:textId="4708EE28" w:rsidR="00C96874" w:rsidRDefault="00C96874" w:rsidP="004F57E5">
            <w:pPr>
              <w:pStyle w:val="TableParagraph"/>
              <w:spacing w:before="60" w:after="60"/>
              <w:ind w:left="0" w:right="493"/>
              <w:rPr>
                <w:sz w:val="20"/>
              </w:rPr>
            </w:pPr>
            <w:r>
              <w:rPr>
                <w:sz w:val="20"/>
              </w:rPr>
              <w:t>“</w:t>
            </w:r>
            <w:r w:rsidR="001A5E6C">
              <w:rPr>
                <w:sz w:val="20"/>
              </w:rPr>
              <w:t>Pooling</w:t>
            </w:r>
            <w:r>
              <w:rPr>
                <w:sz w:val="20"/>
              </w:rPr>
              <w:t xml:space="preserve"> of resources” to combat insecurity</w:t>
            </w:r>
          </w:p>
        </w:tc>
      </w:tr>
      <w:tr w:rsidR="00C96874" w14:paraId="4FB65E7D" w14:textId="77777777" w:rsidTr="004F57E5">
        <w:tc>
          <w:tcPr>
            <w:tcW w:w="2410" w:type="dxa"/>
            <w:shd w:val="clear" w:color="auto" w:fill="auto"/>
          </w:tcPr>
          <w:p w14:paraId="2E07482E" w14:textId="5C279742" w:rsidR="00C96874" w:rsidRDefault="00C96874" w:rsidP="004F57E5">
            <w:pPr>
              <w:pStyle w:val="TableParagraph"/>
              <w:spacing w:before="60" w:after="60"/>
              <w:ind w:left="0" w:right="147"/>
              <w:rPr>
                <w:sz w:val="20"/>
              </w:rPr>
            </w:pPr>
            <w:r>
              <w:rPr>
                <w:sz w:val="20"/>
              </w:rPr>
              <w:t>Floods and other natural disasters could adversely affect farming and other economic activity</w:t>
            </w:r>
          </w:p>
        </w:tc>
        <w:tc>
          <w:tcPr>
            <w:tcW w:w="1260" w:type="dxa"/>
            <w:shd w:val="clear" w:color="auto" w:fill="auto"/>
          </w:tcPr>
          <w:p w14:paraId="6868D7DD" w14:textId="77777777" w:rsidR="00C96874" w:rsidRDefault="00C96874" w:rsidP="004F57E5">
            <w:pPr>
              <w:pStyle w:val="TableParagraph"/>
              <w:spacing w:before="60" w:after="60"/>
              <w:ind w:left="0"/>
              <w:rPr>
                <w:sz w:val="20"/>
              </w:rPr>
            </w:pPr>
            <w:r>
              <w:rPr>
                <w:sz w:val="20"/>
              </w:rPr>
              <w:t>Low</w:t>
            </w:r>
          </w:p>
        </w:tc>
        <w:tc>
          <w:tcPr>
            <w:tcW w:w="1336" w:type="dxa"/>
          </w:tcPr>
          <w:p w14:paraId="192E1A3F" w14:textId="77777777" w:rsidR="00C96874" w:rsidRDefault="00C96874" w:rsidP="004F57E5">
            <w:pPr>
              <w:pStyle w:val="TableParagraph"/>
              <w:spacing w:before="60" w:after="60"/>
              <w:ind w:left="0" w:right="223"/>
              <w:rPr>
                <w:sz w:val="20"/>
              </w:rPr>
            </w:pPr>
            <w:r>
              <w:rPr>
                <w:sz w:val="20"/>
              </w:rPr>
              <w:t xml:space="preserve">Reduced IGR and </w:t>
            </w:r>
            <w:r>
              <w:rPr>
                <w:w w:val="95"/>
                <w:sz w:val="20"/>
              </w:rPr>
              <w:t xml:space="preserve">increased </w:t>
            </w:r>
            <w:r>
              <w:rPr>
                <w:sz w:val="20"/>
              </w:rPr>
              <w:t>Overhead</w:t>
            </w:r>
          </w:p>
          <w:p w14:paraId="18B19803" w14:textId="77777777" w:rsidR="00C96874" w:rsidRDefault="00C96874" w:rsidP="004F57E5">
            <w:pPr>
              <w:pStyle w:val="TableParagraph"/>
              <w:spacing w:before="60" w:after="60"/>
              <w:ind w:left="0" w:right="223"/>
              <w:rPr>
                <w:sz w:val="20"/>
              </w:rPr>
            </w:pPr>
            <w:r>
              <w:rPr>
                <w:sz w:val="20"/>
              </w:rPr>
              <w:t>(Low)</w:t>
            </w:r>
          </w:p>
        </w:tc>
        <w:tc>
          <w:tcPr>
            <w:tcW w:w="4066" w:type="dxa"/>
            <w:shd w:val="clear" w:color="auto" w:fill="auto"/>
          </w:tcPr>
          <w:p w14:paraId="70217C9C" w14:textId="77777777" w:rsidR="00C96874" w:rsidRDefault="00C96874" w:rsidP="004F57E5">
            <w:pPr>
              <w:pStyle w:val="TableParagraph"/>
              <w:spacing w:before="60" w:after="60"/>
              <w:ind w:left="0" w:right="134"/>
              <w:rPr>
                <w:sz w:val="20"/>
              </w:rPr>
            </w:pPr>
            <w:r>
              <w:rPr>
                <w:sz w:val="20"/>
              </w:rPr>
              <w:t>Increased investment to raise the level of climate resilience (flood control and irrigation) adaptation and awareness.</w:t>
            </w:r>
          </w:p>
        </w:tc>
      </w:tr>
      <w:tr w:rsidR="00C96874" w14:paraId="38090B85" w14:textId="77777777" w:rsidTr="004F57E5">
        <w:tc>
          <w:tcPr>
            <w:tcW w:w="2410" w:type="dxa"/>
            <w:shd w:val="clear" w:color="auto" w:fill="auto"/>
          </w:tcPr>
          <w:p w14:paraId="2253B7F4" w14:textId="77777777" w:rsidR="00C96874" w:rsidRDefault="00C96874" w:rsidP="004F57E5">
            <w:pPr>
              <w:pStyle w:val="TableParagraph"/>
              <w:spacing w:before="60" w:after="60"/>
              <w:ind w:left="0" w:right="169"/>
              <w:rPr>
                <w:sz w:val="20"/>
              </w:rPr>
            </w:pPr>
            <w:r>
              <w:rPr>
                <w:sz w:val="20"/>
              </w:rPr>
              <w:t>Security situation nationwide deteriorates causing reductions in Federal transfers</w:t>
            </w:r>
          </w:p>
        </w:tc>
        <w:tc>
          <w:tcPr>
            <w:tcW w:w="1260" w:type="dxa"/>
            <w:shd w:val="clear" w:color="auto" w:fill="auto"/>
          </w:tcPr>
          <w:p w14:paraId="00C4DD9E" w14:textId="77777777" w:rsidR="00C96874" w:rsidRDefault="00C96874" w:rsidP="004F57E5">
            <w:pPr>
              <w:pStyle w:val="TableParagraph"/>
              <w:spacing w:before="60" w:after="60"/>
              <w:ind w:left="0"/>
              <w:rPr>
                <w:sz w:val="20"/>
              </w:rPr>
            </w:pPr>
            <w:r>
              <w:rPr>
                <w:sz w:val="20"/>
              </w:rPr>
              <w:t>Medium</w:t>
            </w:r>
          </w:p>
        </w:tc>
        <w:tc>
          <w:tcPr>
            <w:tcW w:w="1336" w:type="dxa"/>
          </w:tcPr>
          <w:p w14:paraId="1B769EF0" w14:textId="77777777" w:rsidR="00C96874" w:rsidRDefault="00C96874" w:rsidP="004F57E5">
            <w:pPr>
              <w:pStyle w:val="TableParagraph"/>
              <w:spacing w:before="60" w:after="60"/>
              <w:ind w:left="0"/>
              <w:rPr>
                <w:sz w:val="20"/>
              </w:rPr>
            </w:pPr>
            <w:r>
              <w:rPr>
                <w:sz w:val="20"/>
              </w:rPr>
              <w:t>Reduced Statutory Allocation and VAT from FAAC</w:t>
            </w:r>
          </w:p>
          <w:p w14:paraId="30BC1AEE" w14:textId="77777777" w:rsidR="00C96874" w:rsidRDefault="00C96874" w:rsidP="004F57E5">
            <w:pPr>
              <w:pStyle w:val="TableParagraph"/>
              <w:spacing w:before="60" w:after="60"/>
              <w:ind w:left="0"/>
              <w:rPr>
                <w:sz w:val="20"/>
              </w:rPr>
            </w:pPr>
            <w:r>
              <w:rPr>
                <w:sz w:val="20"/>
              </w:rPr>
              <w:t>(High)</w:t>
            </w:r>
          </w:p>
        </w:tc>
        <w:tc>
          <w:tcPr>
            <w:tcW w:w="4066" w:type="dxa"/>
            <w:shd w:val="clear" w:color="auto" w:fill="auto"/>
          </w:tcPr>
          <w:p w14:paraId="3B61F537" w14:textId="6B09070F" w:rsidR="00C96874" w:rsidRDefault="00C96874" w:rsidP="004F57E5">
            <w:pPr>
              <w:pStyle w:val="TableParagraph"/>
              <w:spacing w:before="60" w:after="60"/>
              <w:ind w:left="0" w:right="122"/>
              <w:rPr>
                <w:sz w:val="20"/>
              </w:rPr>
            </w:pPr>
            <w:r>
              <w:rPr>
                <w:sz w:val="20"/>
              </w:rPr>
              <w:t xml:space="preserve">In the long term, Kaduna State would have to be less dependent on Statutory Allocation and VAT to fund its expenditure. This would be achieved through higher IGR collections. In the short term, capital projects would be </w:t>
            </w:r>
            <w:r w:rsidR="009875B9">
              <w:rPr>
                <w:sz w:val="20"/>
              </w:rPr>
              <w:t>prioritized,</w:t>
            </w:r>
            <w:r>
              <w:rPr>
                <w:sz w:val="20"/>
              </w:rPr>
              <w:t xml:space="preserve"> and Overhead expenditure should be made flexible for reduction if </w:t>
            </w:r>
            <w:r w:rsidR="00832D81">
              <w:rPr>
                <w:sz w:val="20"/>
              </w:rPr>
              <w:t>short-term</w:t>
            </w:r>
            <w:r>
              <w:rPr>
                <w:sz w:val="20"/>
              </w:rPr>
              <w:t xml:space="preserve"> revenue falls are further</w:t>
            </w:r>
            <w:r>
              <w:rPr>
                <w:spacing w:val="-6"/>
                <w:sz w:val="20"/>
              </w:rPr>
              <w:t xml:space="preserve"> </w:t>
            </w:r>
            <w:r>
              <w:rPr>
                <w:sz w:val="20"/>
              </w:rPr>
              <w:t>experienced.</w:t>
            </w:r>
          </w:p>
        </w:tc>
      </w:tr>
      <w:tr w:rsidR="00141EB5" w14:paraId="6A24AAC4" w14:textId="77777777" w:rsidTr="004F57E5">
        <w:tc>
          <w:tcPr>
            <w:tcW w:w="2410" w:type="dxa"/>
            <w:shd w:val="clear" w:color="auto" w:fill="auto"/>
          </w:tcPr>
          <w:p w14:paraId="764AD3F7" w14:textId="69F2C113" w:rsidR="00141EB5" w:rsidRDefault="00141EB5" w:rsidP="004F57E5">
            <w:pPr>
              <w:pStyle w:val="TableParagraph"/>
              <w:spacing w:before="60" w:after="60"/>
              <w:ind w:left="0" w:right="169"/>
              <w:rPr>
                <w:sz w:val="20"/>
              </w:rPr>
            </w:pPr>
            <w:r>
              <w:rPr>
                <w:sz w:val="20"/>
              </w:rPr>
              <w:t>Removal of fuel subsidy</w:t>
            </w:r>
          </w:p>
        </w:tc>
        <w:tc>
          <w:tcPr>
            <w:tcW w:w="1260" w:type="dxa"/>
            <w:shd w:val="clear" w:color="auto" w:fill="auto"/>
          </w:tcPr>
          <w:p w14:paraId="2FB29953" w14:textId="2ECDC538" w:rsidR="00141EB5" w:rsidRDefault="00141EB5" w:rsidP="004F57E5">
            <w:pPr>
              <w:pStyle w:val="TableParagraph"/>
              <w:spacing w:before="60" w:after="60"/>
              <w:ind w:left="0"/>
              <w:rPr>
                <w:sz w:val="20"/>
              </w:rPr>
            </w:pPr>
            <w:r>
              <w:rPr>
                <w:sz w:val="20"/>
              </w:rPr>
              <w:t>High</w:t>
            </w:r>
          </w:p>
        </w:tc>
        <w:tc>
          <w:tcPr>
            <w:tcW w:w="1336" w:type="dxa"/>
          </w:tcPr>
          <w:p w14:paraId="06F123F2" w14:textId="1ED735E7" w:rsidR="00141EB5" w:rsidRDefault="00141EB5" w:rsidP="00141EB5">
            <w:pPr>
              <w:pStyle w:val="TableParagraph"/>
              <w:spacing w:before="60" w:after="60"/>
              <w:ind w:left="0"/>
              <w:rPr>
                <w:sz w:val="20"/>
              </w:rPr>
            </w:pPr>
            <w:r>
              <w:rPr>
                <w:sz w:val="20"/>
              </w:rPr>
              <w:t xml:space="preserve">Increase Statutory allocation </w:t>
            </w:r>
            <w:r>
              <w:rPr>
                <w:sz w:val="20"/>
              </w:rPr>
              <w:lastRenderedPageBreak/>
              <w:t xml:space="preserve">(FAAC) inflow to the </w:t>
            </w:r>
            <w:r w:rsidR="00DF6F6B">
              <w:rPr>
                <w:sz w:val="20"/>
              </w:rPr>
              <w:t>state.</w:t>
            </w:r>
          </w:p>
          <w:p w14:paraId="71B0E2E3" w14:textId="338B703E" w:rsidR="00DF6F6B" w:rsidRDefault="00DF6F6B" w:rsidP="00141EB5">
            <w:pPr>
              <w:pStyle w:val="TableParagraph"/>
              <w:spacing w:before="60" w:after="60"/>
              <w:ind w:left="0"/>
              <w:rPr>
                <w:sz w:val="20"/>
              </w:rPr>
            </w:pPr>
            <w:r>
              <w:rPr>
                <w:sz w:val="20"/>
              </w:rPr>
              <w:t>(High)</w:t>
            </w:r>
          </w:p>
        </w:tc>
        <w:tc>
          <w:tcPr>
            <w:tcW w:w="4066" w:type="dxa"/>
            <w:shd w:val="clear" w:color="auto" w:fill="auto"/>
          </w:tcPr>
          <w:p w14:paraId="29FD0139" w14:textId="413B9F0F" w:rsidR="00141EB5" w:rsidRDefault="00E66B88" w:rsidP="00E66B88">
            <w:pPr>
              <w:pStyle w:val="TableParagraph"/>
              <w:spacing w:before="60" w:after="60"/>
              <w:ind w:left="0" w:right="122"/>
              <w:jc w:val="both"/>
              <w:rPr>
                <w:sz w:val="20"/>
              </w:rPr>
            </w:pPr>
            <w:r>
              <w:rPr>
                <w:sz w:val="20"/>
              </w:rPr>
              <w:lastRenderedPageBreak/>
              <w:t xml:space="preserve">In the short-run it </w:t>
            </w:r>
            <w:r w:rsidR="00DF6F6B">
              <w:rPr>
                <w:sz w:val="20"/>
              </w:rPr>
              <w:t>increases</w:t>
            </w:r>
            <w:r>
              <w:rPr>
                <w:sz w:val="20"/>
              </w:rPr>
              <w:t xml:space="preserve"> inflation while in the long-run it would provide opportunities in the establishment of new </w:t>
            </w:r>
            <w:r>
              <w:rPr>
                <w:sz w:val="20"/>
              </w:rPr>
              <w:lastRenderedPageBreak/>
              <w:t xml:space="preserve">businesses there by increasing </w:t>
            </w:r>
            <w:proofErr w:type="spellStart"/>
            <w:r>
              <w:rPr>
                <w:sz w:val="20"/>
              </w:rPr>
              <w:t>lGR</w:t>
            </w:r>
            <w:proofErr w:type="spellEnd"/>
            <w:r>
              <w:rPr>
                <w:sz w:val="20"/>
              </w:rPr>
              <w:t xml:space="preserve"> base of the state.</w:t>
            </w:r>
          </w:p>
        </w:tc>
      </w:tr>
      <w:tr w:rsidR="00141EB5" w14:paraId="41322536" w14:textId="77777777" w:rsidTr="004F57E5">
        <w:tc>
          <w:tcPr>
            <w:tcW w:w="2410" w:type="dxa"/>
            <w:shd w:val="clear" w:color="auto" w:fill="auto"/>
          </w:tcPr>
          <w:p w14:paraId="7F56A3E2" w14:textId="2751C882" w:rsidR="00141EB5" w:rsidRDefault="00141EB5" w:rsidP="004F57E5">
            <w:pPr>
              <w:pStyle w:val="TableParagraph"/>
              <w:spacing w:before="60" w:after="60"/>
              <w:ind w:left="0" w:right="169"/>
              <w:rPr>
                <w:sz w:val="20"/>
              </w:rPr>
            </w:pPr>
            <w:r>
              <w:rPr>
                <w:sz w:val="20"/>
              </w:rPr>
              <w:lastRenderedPageBreak/>
              <w:t>Merge</w:t>
            </w:r>
            <w:r w:rsidR="00CD44EB">
              <w:rPr>
                <w:sz w:val="20"/>
              </w:rPr>
              <w:t>r</w:t>
            </w:r>
            <w:r>
              <w:rPr>
                <w:sz w:val="20"/>
              </w:rPr>
              <w:t xml:space="preserve"> of </w:t>
            </w:r>
            <w:r w:rsidR="00DF6F6B">
              <w:rPr>
                <w:sz w:val="20"/>
              </w:rPr>
              <w:t xml:space="preserve">multiple </w:t>
            </w:r>
            <w:r>
              <w:rPr>
                <w:sz w:val="20"/>
              </w:rPr>
              <w:t xml:space="preserve">exchange rate </w:t>
            </w:r>
          </w:p>
        </w:tc>
        <w:tc>
          <w:tcPr>
            <w:tcW w:w="1260" w:type="dxa"/>
            <w:shd w:val="clear" w:color="auto" w:fill="auto"/>
          </w:tcPr>
          <w:p w14:paraId="39D9FF93" w14:textId="623D44E7" w:rsidR="00141EB5" w:rsidRDefault="00CD44EB" w:rsidP="004F57E5">
            <w:pPr>
              <w:pStyle w:val="TableParagraph"/>
              <w:spacing w:before="60" w:after="60"/>
              <w:ind w:left="0"/>
              <w:rPr>
                <w:sz w:val="20"/>
              </w:rPr>
            </w:pPr>
            <w:r>
              <w:rPr>
                <w:sz w:val="20"/>
              </w:rPr>
              <w:t>High</w:t>
            </w:r>
          </w:p>
        </w:tc>
        <w:tc>
          <w:tcPr>
            <w:tcW w:w="1336" w:type="dxa"/>
          </w:tcPr>
          <w:p w14:paraId="7B2E8895" w14:textId="5A522C0D" w:rsidR="00141EB5" w:rsidRDefault="00CD44EB" w:rsidP="004F57E5">
            <w:pPr>
              <w:pStyle w:val="TableParagraph"/>
              <w:spacing w:before="60" w:after="60"/>
              <w:ind w:left="0"/>
              <w:rPr>
                <w:sz w:val="20"/>
              </w:rPr>
            </w:pPr>
            <w:r>
              <w:rPr>
                <w:sz w:val="20"/>
              </w:rPr>
              <w:t>Increase Statutory allocation (FAAC) inflow to the state</w:t>
            </w:r>
            <w:r w:rsidR="00DF6F6B">
              <w:rPr>
                <w:sz w:val="20"/>
              </w:rPr>
              <w:t>. (High)</w:t>
            </w:r>
          </w:p>
        </w:tc>
        <w:tc>
          <w:tcPr>
            <w:tcW w:w="4066" w:type="dxa"/>
            <w:shd w:val="clear" w:color="auto" w:fill="auto"/>
          </w:tcPr>
          <w:p w14:paraId="433AC8B2" w14:textId="0785F6B3" w:rsidR="00141EB5" w:rsidRDefault="00CD44EB" w:rsidP="00E66B88">
            <w:pPr>
              <w:pStyle w:val="TableParagraph"/>
              <w:spacing w:before="60" w:after="60"/>
              <w:ind w:left="0" w:right="122"/>
              <w:jc w:val="both"/>
              <w:rPr>
                <w:sz w:val="20"/>
              </w:rPr>
            </w:pPr>
            <w:r>
              <w:rPr>
                <w:sz w:val="20"/>
              </w:rPr>
              <w:t xml:space="preserve">In the short-run it </w:t>
            </w:r>
            <w:r w:rsidR="00DF6F6B">
              <w:rPr>
                <w:sz w:val="20"/>
              </w:rPr>
              <w:t>increases</w:t>
            </w:r>
            <w:r>
              <w:rPr>
                <w:sz w:val="20"/>
              </w:rPr>
              <w:t xml:space="preserve"> inflation while in the long-run it </w:t>
            </w:r>
            <w:r w:rsidR="00E66B88">
              <w:rPr>
                <w:sz w:val="20"/>
              </w:rPr>
              <w:t>would</w:t>
            </w:r>
            <w:r>
              <w:rPr>
                <w:sz w:val="20"/>
              </w:rPr>
              <w:t xml:space="preserve"> provide opportunities in</w:t>
            </w:r>
            <w:r w:rsidR="00E66B88">
              <w:rPr>
                <w:sz w:val="20"/>
              </w:rPr>
              <w:t xml:space="preserve"> the</w:t>
            </w:r>
            <w:r>
              <w:rPr>
                <w:sz w:val="20"/>
              </w:rPr>
              <w:t xml:space="preserve"> establishment of new businesses</w:t>
            </w:r>
            <w:r w:rsidR="00E66B88">
              <w:rPr>
                <w:sz w:val="20"/>
              </w:rPr>
              <w:t xml:space="preserve"> there by increasing </w:t>
            </w:r>
            <w:proofErr w:type="spellStart"/>
            <w:r w:rsidR="00E66B88">
              <w:rPr>
                <w:sz w:val="20"/>
              </w:rPr>
              <w:t>lGR</w:t>
            </w:r>
            <w:proofErr w:type="spellEnd"/>
            <w:r w:rsidR="00E66B88">
              <w:rPr>
                <w:sz w:val="20"/>
              </w:rPr>
              <w:t xml:space="preserve"> base of the state</w:t>
            </w:r>
            <w:r>
              <w:rPr>
                <w:sz w:val="20"/>
              </w:rPr>
              <w:t>.</w:t>
            </w:r>
          </w:p>
        </w:tc>
      </w:tr>
    </w:tbl>
    <w:p w14:paraId="2C3C226E" w14:textId="03918406" w:rsidR="00C96874" w:rsidRDefault="00C96874" w:rsidP="004D5FF4">
      <w:pPr>
        <w:pStyle w:val="NumberedPara"/>
        <w:tabs>
          <w:tab w:val="clear" w:pos="2127"/>
        </w:tabs>
        <w:ind w:left="567"/>
        <w:rPr>
          <w:rStyle w:val="PageNumber"/>
        </w:rPr>
      </w:pPr>
      <w:r>
        <w:t xml:space="preserve">It should be noted that no budget is without risk.  The ongoing implementation of the </w:t>
      </w:r>
      <w:r w:rsidR="00E66B88">
        <w:t>2023</w:t>
      </w:r>
      <w:r>
        <w:t xml:space="preserve"> budget should</w:t>
      </w:r>
      <w:r w:rsidR="00E66B88">
        <w:t xml:space="preserve"> be closely monitor</w:t>
      </w:r>
      <w:r w:rsidR="005B0E76">
        <w:t>ed</w:t>
      </w:r>
      <w:r w:rsidR="00E66B88">
        <w:t xml:space="preserve"> to mitigate the impact of the risks on</w:t>
      </w:r>
      <w:r w:rsidR="00376C3E">
        <w:t xml:space="preserve"> </w:t>
      </w:r>
      <w:r w:rsidR="00E66B88">
        <w:t>the economy</w:t>
      </w:r>
      <w:r>
        <w:rPr>
          <w:rStyle w:val="PageNumber"/>
        </w:rPr>
        <w:t>.</w:t>
      </w:r>
    </w:p>
    <w:p w14:paraId="1A01AA1C" w14:textId="77777777" w:rsidR="00C96874" w:rsidRDefault="00C96874" w:rsidP="00C96874">
      <w:pPr>
        <w:pStyle w:val="Heading2"/>
      </w:pPr>
      <w:bookmarkStart w:id="224" w:name="_Toc14448433"/>
      <w:bookmarkStart w:id="225" w:name="_Toc106568639"/>
      <w:bookmarkStart w:id="226" w:name="_Toc143179808"/>
      <w:r>
        <w:t>Local Government Forecasts</w:t>
      </w:r>
      <w:bookmarkEnd w:id="224"/>
      <w:bookmarkEnd w:id="225"/>
      <w:bookmarkEnd w:id="226"/>
    </w:p>
    <w:p w14:paraId="4CE7A6F9" w14:textId="477F26D3" w:rsidR="00C96874" w:rsidRDefault="00C96874" w:rsidP="004D5FF4">
      <w:pPr>
        <w:pStyle w:val="NumberedPara"/>
        <w:tabs>
          <w:tab w:val="clear" w:pos="2127"/>
        </w:tabs>
        <w:ind w:left="567"/>
      </w:pPr>
      <w:r>
        <w:t xml:space="preserve">Based on the Macroeconomic assumptions in section 3.A, the forecasting techniques noted in section </w:t>
      </w:r>
      <w:r w:rsidR="000A7398">
        <w:t>3.B</w:t>
      </w:r>
      <w:r>
        <w:t xml:space="preserve">, the Federation Account revenues have been forecasted for the 23 Local Governments (LGs) of Kaduna State. In addition, LG share of IGR (LG receive 60% of Land Use Charge) is estimated to constitute 2.5% of the IGR estimate </w:t>
      </w:r>
      <w:r w:rsidR="00376C3E">
        <w:t xml:space="preserve">as </w:t>
      </w:r>
      <w:r>
        <w:t>contained in the State Fiscal Framework (</w:t>
      </w:r>
      <w:r w:rsidR="000A7398">
        <w:fldChar w:fldCharType="begin"/>
      </w:r>
      <w:r w:rsidR="000A7398">
        <w:instrText xml:space="preserve"> REF _Ref14437078 \h </w:instrText>
      </w:r>
      <w:r w:rsidR="000A7398">
        <w:fldChar w:fldCharType="separate"/>
      </w:r>
      <w:r w:rsidR="004D5FF4">
        <w:t xml:space="preserve">Table </w:t>
      </w:r>
      <w:r w:rsidR="004D5FF4">
        <w:rPr>
          <w:noProof/>
        </w:rPr>
        <w:t>13</w:t>
      </w:r>
      <w:r w:rsidR="000A7398">
        <w:fldChar w:fldCharType="end"/>
      </w:r>
      <w:r w:rsidR="00376C3E">
        <w:fldChar w:fldCharType="begin"/>
      </w:r>
      <w:r w:rsidR="00376C3E">
        <w:instrText xml:space="preserve"> REF _Ref106575937 \h </w:instrText>
      </w:r>
      <w:r w:rsidR="00376C3E">
        <w:fldChar w:fldCharType="separate"/>
      </w:r>
      <w:r w:rsidR="004D5FF4">
        <w:t xml:space="preserve">Table </w:t>
      </w:r>
      <w:r w:rsidR="004D5FF4">
        <w:rPr>
          <w:noProof/>
        </w:rPr>
        <w:t>12</w:t>
      </w:r>
      <w:r w:rsidR="00376C3E">
        <w:fldChar w:fldCharType="end"/>
      </w:r>
      <w:r w:rsidR="00376C3E">
        <w:t xml:space="preserve"> above</w:t>
      </w:r>
      <w:r>
        <w:t xml:space="preserve">). </w:t>
      </w:r>
    </w:p>
    <w:p w14:paraId="6DFD7E23" w14:textId="7F678EE9" w:rsidR="00C96874" w:rsidRDefault="00C96874" w:rsidP="004D5FF4">
      <w:pPr>
        <w:pStyle w:val="NumberedPara"/>
        <w:tabs>
          <w:tab w:val="clear" w:pos="2127"/>
        </w:tabs>
        <w:ind w:left="567"/>
      </w:pPr>
      <w:r>
        <w:t>The forecasts for the period 202</w:t>
      </w:r>
      <w:r w:rsidR="004F2923">
        <w:t>4</w:t>
      </w:r>
      <w:r>
        <w:t>-202</w:t>
      </w:r>
      <w:r w:rsidR="004F2923">
        <w:t>6</w:t>
      </w:r>
      <w:r>
        <w:t xml:space="preserve"> </w:t>
      </w:r>
      <w:r w:rsidR="001A5E6C">
        <w:t>are</w:t>
      </w:r>
      <w:r>
        <w:t xml:space="preserve"> provided in</w:t>
      </w:r>
      <w:r w:rsidR="00376C3E">
        <w:t xml:space="preserve"> </w:t>
      </w:r>
      <w:r w:rsidR="00376C3E">
        <w:fldChar w:fldCharType="begin"/>
      </w:r>
      <w:r w:rsidR="00376C3E">
        <w:instrText xml:space="preserve"> REF _Ref14437078 \h </w:instrText>
      </w:r>
      <w:r w:rsidR="00376C3E">
        <w:fldChar w:fldCharType="separate"/>
      </w:r>
      <w:r w:rsidR="004F2923">
        <w:t xml:space="preserve">Table </w:t>
      </w:r>
      <w:r w:rsidR="004F2923">
        <w:rPr>
          <w:noProof/>
        </w:rPr>
        <w:t>13</w:t>
      </w:r>
      <w:r w:rsidR="00376C3E">
        <w:fldChar w:fldCharType="end"/>
      </w:r>
      <w:r>
        <w:t xml:space="preserve"> below. </w:t>
      </w:r>
    </w:p>
    <w:p w14:paraId="30DD0332" w14:textId="1C3ACEF1" w:rsidR="00C96874" w:rsidRDefault="00C96874" w:rsidP="00C96874">
      <w:pPr>
        <w:pStyle w:val="Caption"/>
      </w:pPr>
      <w:bookmarkStart w:id="227" w:name="_Ref14437078"/>
      <w:bookmarkStart w:id="228" w:name="_Ref518473091"/>
      <w:bookmarkStart w:id="229" w:name="_Toc72918057"/>
      <w:bookmarkStart w:id="230" w:name="_Toc106568674"/>
      <w:bookmarkStart w:id="231" w:name="_Toc143179950"/>
      <w:r>
        <w:t xml:space="preserve">Table </w:t>
      </w:r>
      <w:r>
        <w:fldChar w:fldCharType="begin"/>
      </w:r>
      <w:r>
        <w:instrText xml:space="preserve"> SEQ Table \* ARABIC </w:instrText>
      </w:r>
      <w:r>
        <w:fldChar w:fldCharType="separate"/>
      </w:r>
      <w:r w:rsidR="00727B66">
        <w:rPr>
          <w:noProof/>
        </w:rPr>
        <w:t>13</w:t>
      </w:r>
      <w:r>
        <w:rPr>
          <w:noProof/>
        </w:rPr>
        <w:fldChar w:fldCharType="end"/>
      </w:r>
      <w:bookmarkEnd w:id="227"/>
      <w:r>
        <w:t xml:space="preserve"> </w:t>
      </w:r>
      <w:bookmarkEnd w:id="228"/>
      <w:r>
        <w:t>Local Government FAAC and Share of State IGR Estimates</w:t>
      </w:r>
      <w:bookmarkEnd w:id="229"/>
      <w:bookmarkEnd w:id="230"/>
      <w:bookmarkEnd w:id="231"/>
    </w:p>
    <w:p w14:paraId="3A0064E7" w14:textId="631443FD" w:rsidR="00C96874" w:rsidRDefault="00B40B81" w:rsidP="00C96874">
      <w:r w:rsidRPr="00B40B81">
        <w:rPr>
          <w:noProof/>
          <w:lang w:val="en-US" w:eastAsia="en-US"/>
        </w:rPr>
        <w:drawing>
          <wp:inline distT="0" distB="0" distL="0" distR="0" wp14:anchorId="67FA6284" wp14:editId="7E10ECD0">
            <wp:extent cx="5504815" cy="3234690"/>
            <wp:effectExtent l="0" t="0" r="635" b="3810"/>
            <wp:docPr id="1761367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04815" cy="3234690"/>
                    </a:xfrm>
                    <a:prstGeom prst="rect">
                      <a:avLst/>
                    </a:prstGeom>
                    <a:noFill/>
                    <a:ln>
                      <a:noFill/>
                    </a:ln>
                  </pic:spPr>
                </pic:pic>
              </a:graphicData>
            </a:graphic>
          </wp:inline>
        </w:drawing>
      </w:r>
    </w:p>
    <w:p w14:paraId="3C2BB787" w14:textId="737E6FED" w:rsidR="00C96874" w:rsidRDefault="00AD52AA" w:rsidP="00C96874">
      <w:r w:rsidRPr="00AD52AA">
        <w:lastRenderedPageBreak/>
        <w:drawing>
          <wp:inline distT="0" distB="0" distL="0" distR="0" wp14:anchorId="1905BCD7" wp14:editId="3481C3F8">
            <wp:extent cx="5504815" cy="3034665"/>
            <wp:effectExtent l="0" t="0" r="635" b="0"/>
            <wp:docPr id="1545613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04815" cy="3034665"/>
                    </a:xfrm>
                    <a:prstGeom prst="rect">
                      <a:avLst/>
                    </a:prstGeom>
                    <a:noFill/>
                    <a:ln>
                      <a:noFill/>
                    </a:ln>
                  </pic:spPr>
                </pic:pic>
              </a:graphicData>
            </a:graphic>
          </wp:inline>
        </w:drawing>
      </w:r>
    </w:p>
    <w:p w14:paraId="69A92425" w14:textId="12DDAE2F" w:rsidR="00E42A88" w:rsidRDefault="00AD52AA" w:rsidP="00C96874">
      <w:r w:rsidRPr="00AD52AA">
        <w:drawing>
          <wp:inline distT="0" distB="0" distL="0" distR="0" wp14:anchorId="7591E79F" wp14:editId="12618CA6">
            <wp:extent cx="5504815" cy="3034665"/>
            <wp:effectExtent l="0" t="0" r="635" b="0"/>
            <wp:docPr id="564623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04815" cy="3034665"/>
                    </a:xfrm>
                    <a:prstGeom prst="rect">
                      <a:avLst/>
                    </a:prstGeom>
                    <a:noFill/>
                    <a:ln>
                      <a:noFill/>
                    </a:ln>
                  </pic:spPr>
                </pic:pic>
              </a:graphicData>
            </a:graphic>
          </wp:inline>
        </w:drawing>
      </w:r>
    </w:p>
    <w:p w14:paraId="742C8610" w14:textId="77777777" w:rsidR="00C96874" w:rsidRDefault="00C96874" w:rsidP="004D5FF4">
      <w:pPr>
        <w:pStyle w:val="NumberedPara"/>
        <w:tabs>
          <w:tab w:val="clear" w:pos="2127"/>
          <w:tab w:val="num" w:pos="2552"/>
        </w:tabs>
        <w:ind w:left="567"/>
      </w:pPr>
      <w:r>
        <w:t>Additional Grants are also available to Local Governments as identified in the Local Government Fiscal Transparency, Accountability and Sustainability</w:t>
      </w:r>
      <w:r w:rsidRPr="005566BE">
        <w:t xml:space="preserve"> (LFTAS) </w:t>
      </w:r>
      <w:r>
        <w:t xml:space="preserve">programme. </w:t>
      </w:r>
      <w:r w:rsidRPr="005566BE">
        <w:t xml:space="preserve">There is an annual incentive in the sum of </w:t>
      </w:r>
      <w:r>
        <w:t>Twenty</w:t>
      </w:r>
      <w:r w:rsidRPr="005566BE">
        <w:t xml:space="preserve"> Million Naira only for the participating LGAs who had made the minimum performance indicator</w:t>
      </w:r>
      <w:r>
        <w:t>s as listed below:</w:t>
      </w:r>
    </w:p>
    <w:p w14:paraId="6B2013B6" w14:textId="77777777" w:rsidR="00C96874" w:rsidRDefault="00C96874" w:rsidP="00C96874">
      <w:pPr>
        <w:pStyle w:val="Bullet"/>
      </w:pPr>
      <w:r>
        <w:t>Budget preparation Process - Increased Citizen engagement in Budget processes</w:t>
      </w:r>
    </w:p>
    <w:p w14:paraId="48A12FB8" w14:textId="009D5C44" w:rsidR="00C96874" w:rsidRDefault="00C96874" w:rsidP="00C96874">
      <w:pPr>
        <w:pStyle w:val="Bullet"/>
      </w:pPr>
      <w:r>
        <w:t xml:space="preserve">Adherence to Policy Documents - Strengthen Plan-Budget </w:t>
      </w:r>
      <w:r w:rsidR="00AD52AA">
        <w:t>link.</w:t>
      </w:r>
    </w:p>
    <w:p w14:paraId="6AB07065" w14:textId="77777777" w:rsidR="00C96874" w:rsidRDefault="00C96874" w:rsidP="00C96874">
      <w:pPr>
        <w:pStyle w:val="Bullet"/>
      </w:pPr>
      <w:r>
        <w:t xml:space="preserve">Internally Revenue Generation (IGR) -Improved revenue generation </w:t>
      </w:r>
    </w:p>
    <w:p w14:paraId="0DD4C8A2" w14:textId="77777777" w:rsidR="00C96874" w:rsidRDefault="00C96874" w:rsidP="00C96874">
      <w:pPr>
        <w:pStyle w:val="Bullet"/>
      </w:pPr>
      <w:r>
        <w:t xml:space="preserve">Procurement and nominal roll fraud - Increased Transparency and value for money </w:t>
      </w:r>
    </w:p>
    <w:p w14:paraId="37219E95" w14:textId="27590EC8" w:rsidR="00C96874" w:rsidRDefault="00C96874" w:rsidP="00C96874">
      <w:pPr>
        <w:pStyle w:val="Bullet"/>
      </w:pPr>
      <w:r>
        <w:t xml:space="preserve">Tracking Absenteeism and </w:t>
      </w:r>
      <w:r w:rsidR="00EA2635">
        <w:t>nonchalant</w:t>
      </w:r>
      <w:r>
        <w:t xml:space="preserve"> attitude of Primary School Teachers and Health personnel - Improved service delivery and Improved quality of education</w:t>
      </w:r>
    </w:p>
    <w:p w14:paraId="1FCD88A8" w14:textId="07A86140" w:rsidR="00C96874" w:rsidRPr="007F1ED7" w:rsidRDefault="00C96874" w:rsidP="004D5FF4">
      <w:pPr>
        <w:pStyle w:val="NumberedPara"/>
        <w:tabs>
          <w:tab w:val="clear" w:pos="2127"/>
          <w:tab w:val="num" w:pos="2694"/>
        </w:tabs>
        <w:ind w:left="567"/>
      </w:pPr>
      <w:r>
        <w:t>More information is available in the Memorandum issued by the Commissioner of the Planning and Budget Commission in June 2018.</w:t>
      </w:r>
      <w:bookmarkEnd w:id="184"/>
    </w:p>
    <w:p w14:paraId="2B00564C" w14:textId="77777777" w:rsidR="00C96874" w:rsidRDefault="00C96874" w:rsidP="00C96874">
      <w:pPr>
        <w:pStyle w:val="Heading1"/>
      </w:pPr>
      <w:bookmarkStart w:id="232" w:name="_Toc14448434"/>
      <w:bookmarkStart w:id="233" w:name="_Toc106568640"/>
      <w:bookmarkStart w:id="234" w:name="_Toc143179809"/>
      <w:bookmarkStart w:id="235" w:name="_Hlk107402146"/>
      <w:r>
        <w:lastRenderedPageBreak/>
        <w:t>Budget Policy Statement</w:t>
      </w:r>
      <w:bookmarkEnd w:id="232"/>
      <w:bookmarkEnd w:id="233"/>
      <w:bookmarkEnd w:id="234"/>
    </w:p>
    <w:p w14:paraId="46FB5D1A" w14:textId="77777777" w:rsidR="00C96874" w:rsidRDefault="00C96874" w:rsidP="00C96874">
      <w:pPr>
        <w:pStyle w:val="Heading2"/>
      </w:pPr>
      <w:bookmarkStart w:id="236" w:name="_Toc14448435"/>
      <w:bookmarkStart w:id="237" w:name="_Toc106568641"/>
      <w:bookmarkStart w:id="238" w:name="_Toc143179810"/>
      <w:r>
        <w:t>Budget Policy Thrust</w:t>
      </w:r>
      <w:bookmarkEnd w:id="236"/>
      <w:bookmarkEnd w:id="237"/>
      <w:bookmarkEnd w:id="238"/>
    </w:p>
    <w:p w14:paraId="6A72F261" w14:textId="79FDDB90" w:rsidR="000A7398" w:rsidRDefault="000A7398" w:rsidP="004D5FF4">
      <w:pPr>
        <w:pStyle w:val="NumberedPara"/>
        <w:tabs>
          <w:tab w:val="clear" w:pos="2127"/>
        </w:tabs>
        <w:ind w:left="567"/>
      </w:pPr>
      <w:r w:rsidRPr="000A7398">
        <w:t>Kaduna State in its 202</w:t>
      </w:r>
      <w:r w:rsidR="00907B5C">
        <w:t>1</w:t>
      </w:r>
      <w:r w:rsidRPr="000A7398">
        <w:t xml:space="preserve">-2025 State Development Plan (SDP) intends to transform the economy of the State into a </w:t>
      </w:r>
      <w:r w:rsidR="004D5FF4">
        <w:t>Knowledge-Based</w:t>
      </w:r>
      <w:r w:rsidRPr="000A7398">
        <w:t xml:space="preserve"> Economy. The 2021-2025 SDP is a five-year plan, designed as a coherent platform for continued economic development and social progress in the State. Amidst a focus on diversifying the resources of economic growth, this plan particularly seeks to establish the State as a knowledge-based economy.</w:t>
      </w:r>
    </w:p>
    <w:p w14:paraId="300588ED" w14:textId="1126387D" w:rsidR="00F16C41" w:rsidRDefault="000A7398" w:rsidP="004D5FF4">
      <w:pPr>
        <w:pStyle w:val="NumberedPara"/>
        <w:tabs>
          <w:tab w:val="clear" w:pos="2127"/>
        </w:tabs>
        <w:ind w:left="567"/>
      </w:pPr>
      <w:r w:rsidRPr="000A7398">
        <w:t>The targets of the State as contained in the 2021-2025 SDP are</w:t>
      </w:r>
      <w:r>
        <w:t>:</w:t>
      </w:r>
    </w:p>
    <w:p w14:paraId="3B5D2B08" w14:textId="77777777" w:rsidR="00F16C41" w:rsidRDefault="000A7398" w:rsidP="00F16C41">
      <w:pPr>
        <w:pStyle w:val="Bullet"/>
      </w:pPr>
      <w:r w:rsidRPr="000A7398">
        <w:t xml:space="preserve">Economic Value Addition, </w:t>
      </w:r>
    </w:p>
    <w:p w14:paraId="00A0BCAA" w14:textId="65868762" w:rsidR="00F16C41" w:rsidRDefault="00F16C41" w:rsidP="00F16C41">
      <w:pPr>
        <w:pStyle w:val="Bullet"/>
      </w:pPr>
      <w:r>
        <w:t>Infrastructural D</w:t>
      </w:r>
      <w:r w:rsidR="000A7398" w:rsidRPr="000A7398">
        <w:t xml:space="preserve">evelopment, </w:t>
      </w:r>
    </w:p>
    <w:p w14:paraId="0EE9DB1F" w14:textId="77777777" w:rsidR="00F16C41" w:rsidRDefault="000A7398" w:rsidP="00F16C41">
      <w:pPr>
        <w:pStyle w:val="Bullet"/>
      </w:pPr>
      <w:r w:rsidRPr="000A7398">
        <w:t xml:space="preserve">Governance, Security and Justice, Innovation System and </w:t>
      </w:r>
    </w:p>
    <w:p w14:paraId="342F90D4" w14:textId="480122FD" w:rsidR="00C96874" w:rsidRDefault="000A7398" w:rsidP="00F16C41">
      <w:pPr>
        <w:pStyle w:val="Bullet"/>
      </w:pPr>
      <w:r w:rsidRPr="000A7398">
        <w:t>Entrepreneurship, Information Infrastructure</w:t>
      </w:r>
      <w:r w:rsidR="004D5FF4">
        <w:t>,</w:t>
      </w:r>
      <w:r w:rsidRPr="000A7398">
        <w:t xml:space="preserve"> and Financial Inclusion.</w:t>
      </w:r>
    </w:p>
    <w:p w14:paraId="47ED9B5F" w14:textId="5CD5F76E" w:rsidR="0014556E" w:rsidRDefault="0014556E" w:rsidP="001479CC">
      <w:pPr>
        <w:pStyle w:val="NumberedPara"/>
        <w:tabs>
          <w:tab w:val="clear" w:pos="2127"/>
          <w:tab w:val="num" w:pos="2250"/>
        </w:tabs>
        <w:ind w:left="540" w:hanging="540"/>
      </w:pPr>
      <w:r>
        <w:t xml:space="preserve">The ushering of a new dispensation </w:t>
      </w:r>
      <w:r w:rsidR="009272FD">
        <w:t>on</w:t>
      </w:r>
      <w:r>
        <w:t xml:space="preserve"> May 29</w:t>
      </w:r>
      <w:r w:rsidRPr="001479CC">
        <w:rPr>
          <w:vertAlign w:val="superscript"/>
        </w:rPr>
        <w:t>th</w:t>
      </w:r>
      <w:r w:rsidR="009272FD">
        <w:t>, 2023,</w:t>
      </w:r>
      <w:r>
        <w:t xml:space="preserve"> necessitate</w:t>
      </w:r>
      <w:r w:rsidR="009272FD">
        <w:t>d</w:t>
      </w:r>
      <w:r>
        <w:t xml:space="preserve"> that its campaign promises as contained in the Manifestos - which is the SUSTAIN AGENDA – are carefully integrated in the State Plans and implemented from </w:t>
      </w:r>
      <w:r w:rsidR="009272FD">
        <w:t>mid-</w:t>
      </w:r>
      <w:r>
        <w:t xml:space="preserve">2023 and beyond. The </w:t>
      </w:r>
      <w:proofErr w:type="gramStart"/>
      <w:r>
        <w:t>main focus</w:t>
      </w:r>
      <w:proofErr w:type="gramEnd"/>
      <w:r>
        <w:t xml:space="preserve"> of the SUSTAIN Manifesto are Agriculture, Regional/Rural Economic Development, Security, Infrastructure</w:t>
      </w:r>
      <w:r w:rsidR="009272FD">
        <w:t xml:space="preserve">, Human Capital Development etc. </w:t>
      </w:r>
    </w:p>
    <w:p w14:paraId="1FD3DB73" w14:textId="6AD4450A" w:rsidR="00C96874" w:rsidRDefault="00F16C41" w:rsidP="004D5FF4">
      <w:pPr>
        <w:pStyle w:val="NumberedPara"/>
        <w:tabs>
          <w:tab w:val="clear" w:pos="2127"/>
        </w:tabs>
        <w:ind w:left="567"/>
      </w:pPr>
      <w:r>
        <w:t xml:space="preserve">The Multi-Year Budgeting Framework will be utilized, and the </w:t>
      </w:r>
      <w:r w:rsidR="00EA2635">
        <w:t>2024</w:t>
      </w:r>
      <w:r>
        <w:t>-</w:t>
      </w:r>
      <w:r w:rsidR="00EA2635">
        <w:t xml:space="preserve">2026 </w:t>
      </w:r>
      <w:r>
        <w:t>multi-year budget will emphasize the following:</w:t>
      </w:r>
    </w:p>
    <w:p w14:paraId="044C2653" w14:textId="7B7D4BA1" w:rsidR="00F16C41" w:rsidRDefault="00C96874" w:rsidP="00F16C41">
      <w:pPr>
        <w:pStyle w:val="Bullet"/>
      </w:pPr>
      <w:bookmarkStart w:id="239" w:name="_Hlk107770173"/>
      <w:r>
        <w:t xml:space="preserve">Serve strictly as the financial implementation plan of the </w:t>
      </w:r>
      <w:r w:rsidR="00884364">
        <w:t xml:space="preserve">new </w:t>
      </w:r>
      <w:r>
        <w:t>State Development Plan</w:t>
      </w:r>
      <w:r w:rsidR="00884364">
        <w:t xml:space="preserve"> 2021 - </w:t>
      </w:r>
      <w:r w:rsidR="005610AD">
        <w:t>2025.</w:t>
      </w:r>
    </w:p>
    <w:p w14:paraId="5437D95C" w14:textId="32602F3C" w:rsidR="00C96874" w:rsidRDefault="00C96874" w:rsidP="00884364">
      <w:pPr>
        <w:pStyle w:val="Bullet"/>
      </w:pPr>
      <w:r>
        <w:t xml:space="preserve">Cover the three-year period, </w:t>
      </w:r>
      <w:r w:rsidR="00EA2635">
        <w:t xml:space="preserve">2024 </w:t>
      </w:r>
      <w:r w:rsidR="00884364">
        <w:t xml:space="preserve">- </w:t>
      </w:r>
      <w:r w:rsidR="00EA2635">
        <w:t>2026</w:t>
      </w:r>
      <w:r w:rsidR="005610AD">
        <w:t>.</w:t>
      </w:r>
    </w:p>
    <w:bookmarkEnd w:id="239"/>
    <w:p w14:paraId="7D9A87EB" w14:textId="0701409C" w:rsidR="00C96874" w:rsidRDefault="00C96874" w:rsidP="004D5FF4">
      <w:pPr>
        <w:pStyle w:val="NumberedPara"/>
        <w:tabs>
          <w:tab w:val="clear" w:pos="2127"/>
          <w:tab w:val="num" w:pos="2694"/>
        </w:tabs>
        <w:ind w:left="567"/>
      </w:pPr>
      <w:r>
        <w:t>The 202</w:t>
      </w:r>
      <w:r w:rsidR="009272FD">
        <w:t>4</w:t>
      </w:r>
      <w:r>
        <w:t xml:space="preserve"> Budget will also adhere to key fiscal objectives outlined by the current administration which focus on the following:</w:t>
      </w:r>
    </w:p>
    <w:p w14:paraId="2C5D38FC" w14:textId="40895FAE" w:rsidR="00C96874" w:rsidRDefault="00C96874" w:rsidP="00F16C41">
      <w:pPr>
        <w:pStyle w:val="Bullet"/>
        <w:jc w:val="both"/>
      </w:pPr>
      <w:r>
        <w:t>Ensuring the actualization of the development priorities of the government as articulated in the State Development Plan and respective Sector Implementation Plans (SIPs</w:t>
      </w:r>
      <w:r w:rsidR="005610AD">
        <w:t>).</w:t>
      </w:r>
    </w:p>
    <w:p w14:paraId="0F5FE3B5" w14:textId="75F93E52" w:rsidR="00C96874" w:rsidRDefault="00C96874" w:rsidP="00C96874">
      <w:pPr>
        <w:pStyle w:val="Bullet"/>
      </w:pPr>
      <w:r>
        <w:t xml:space="preserve">Maintaining a </w:t>
      </w:r>
      <w:r w:rsidR="005610AD">
        <w:t>favourable</w:t>
      </w:r>
      <w:r>
        <w:t xml:space="preserve"> proportion of Capital to Recurrent Expenditure (at least a target of 60:40</w:t>
      </w:r>
      <w:r w:rsidR="00315653">
        <w:t xml:space="preserve"> ratio</w:t>
      </w:r>
      <w:r w:rsidR="005610AD">
        <w:t>).</w:t>
      </w:r>
    </w:p>
    <w:p w14:paraId="6CAF4728" w14:textId="0B158AB9" w:rsidR="00C96874" w:rsidRDefault="00C96874" w:rsidP="00C96874">
      <w:pPr>
        <w:pStyle w:val="Bullet"/>
      </w:pPr>
      <w:r>
        <w:t xml:space="preserve">Ensuring adequate provision is made to complete </w:t>
      </w:r>
      <w:r w:rsidR="00EA2635">
        <w:t xml:space="preserve">2023 </w:t>
      </w:r>
      <w:r>
        <w:t xml:space="preserve">projects in </w:t>
      </w:r>
      <w:r w:rsidR="00EA2635">
        <w:t>2024</w:t>
      </w:r>
      <w:r w:rsidR="005610AD">
        <w:t>.</w:t>
      </w:r>
    </w:p>
    <w:p w14:paraId="1B49B069" w14:textId="77777777" w:rsidR="00C96874" w:rsidRDefault="00C96874" w:rsidP="00C96874">
      <w:pPr>
        <w:pStyle w:val="Bullet"/>
      </w:pPr>
      <w:r>
        <w:t>Expanding the revenue generation capacity of the State; and</w:t>
      </w:r>
    </w:p>
    <w:p w14:paraId="75016EC1" w14:textId="75D8D30F" w:rsidR="00C96874" w:rsidRDefault="00C96874" w:rsidP="00C96874">
      <w:pPr>
        <w:pStyle w:val="Bullet"/>
      </w:pPr>
      <w:r>
        <w:t>Eliminating wastages and other unjustifiable expenditure</w:t>
      </w:r>
      <w:r w:rsidR="00315653">
        <w:t>s</w:t>
      </w:r>
      <w:r>
        <w:t xml:space="preserve"> that are not clearly linked to policy objectives.</w:t>
      </w:r>
    </w:p>
    <w:p w14:paraId="1AFC8F08" w14:textId="1A25EFA5" w:rsidR="00884364" w:rsidRPr="002B6908" w:rsidRDefault="00884364" w:rsidP="00C96874">
      <w:pPr>
        <w:pStyle w:val="Bullet"/>
      </w:pPr>
      <w:r>
        <w:t>Prioritizing capital project</w:t>
      </w:r>
      <w:r w:rsidR="00315653">
        <w:t>s</w:t>
      </w:r>
      <w:r>
        <w:t xml:space="preserve"> under the Urban Renewal Programme.  </w:t>
      </w:r>
    </w:p>
    <w:p w14:paraId="5302CE4F" w14:textId="77777777" w:rsidR="00C96874" w:rsidRDefault="00C96874" w:rsidP="00C96874">
      <w:pPr>
        <w:pStyle w:val="Heading2"/>
      </w:pPr>
      <w:bookmarkStart w:id="240" w:name="_Toc14448436"/>
      <w:bookmarkStart w:id="241" w:name="_Toc106568642"/>
      <w:bookmarkStart w:id="242" w:name="_Toc143179811"/>
      <w:r>
        <w:t>Sector Allocations (3 Year)</w:t>
      </w:r>
      <w:bookmarkEnd w:id="240"/>
      <w:bookmarkEnd w:id="241"/>
      <w:bookmarkEnd w:id="242"/>
    </w:p>
    <w:p w14:paraId="2DB191A1" w14:textId="43E9EDFE" w:rsidR="00C96874" w:rsidRDefault="00C96874" w:rsidP="004D5FF4">
      <w:pPr>
        <w:pStyle w:val="NumberedPara"/>
        <w:tabs>
          <w:tab w:val="clear" w:pos="2127"/>
          <w:tab w:val="num" w:pos="2552"/>
        </w:tabs>
        <w:ind w:left="567"/>
      </w:pPr>
      <w:r>
        <w:t>Presented in the</w:t>
      </w:r>
      <w:r w:rsidR="004D5FF4">
        <w:t xml:space="preserve"> Table 14</w:t>
      </w:r>
      <w:r>
        <w:t xml:space="preserve"> below are the indicative three envelopes for sectors and sub-sectors.  The basis for </w:t>
      </w:r>
      <w:r w:rsidR="00EA2635">
        <w:t>2024</w:t>
      </w:r>
      <w:r>
        <w:t>-</w:t>
      </w:r>
      <w:r w:rsidR="00EA2635">
        <w:t xml:space="preserve">2026 </w:t>
      </w:r>
      <w:r>
        <w:t>recurrent expenditure envelopes (Personnel, Overheads) i</w:t>
      </w:r>
      <w:r w:rsidR="00775C45">
        <w:t xml:space="preserve">s an average for the period </w:t>
      </w:r>
      <w:r w:rsidR="00EA2635">
        <w:t>2017</w:t>
      </w:r>
      <w:r>
        <w:t>-</w:t>
      </w:r>
      <w:r w:rsidR="00EA2635">
        <w:t xml:space="preserve">2023 </w:t>
      </w:r>
      <w:r>
        <w:t xml:space="preserve">budget allocations. </w:t>
      </w:r>
    </w:p>
    <w:p w14:paraId="102C9AAB" w14:textId="50117D99" w:rsidR="00C96874" w:rsidRDefault="00C96874" w:rsidP="004D5FF4">
      <w:pPr>
        <w:pStyle w:val="NumberedPara"/>
        <w:tabs>
          <w:tab w:val="clear" w:pos="2127"/>
          <w:tab w:val="num" w:pos="2552"/>
        </w:tabs>
        <w:ind w:left="567"/>
      </w:pPr>
      <w:r>
        <w:t xml:space="preserve">For Capital Expenditure, non-discretional resources have automatically been allocated to their relevant sectors. The main premise for overall allocation is to </w:t>
      </w:r>
      <w:proofErr w:type="gramStart"/>
      <w:r>
        <w:t>maintain to a large extent</w:t>
      </w:r>
      <w:proofErr w:type="gramEnd"/>
      <w:r>
        <w:t xml:space="preserve"> the percentage allocations from 20</w:t>
      </w:r>
      <w:r w:rsidR="0003693A">
        <w:t>20</w:t>
      </w:r>
      <w:r>
        <w:t xml:space="preserve">.  The reason for this is </w:t>
      </w:r>
      <w:r w:rsidR="00315653">
        <w:t xml:space="preserve">that </w:t>
      </w:r>
      <w:r>
        <w:t xml:space="preserve">there is likely to be a </w:t>
      </w:r>
      <w:r w:rsidR="0003693A">
        <w:t>carryover</w:t>
      </w:r>
      <w:r>
        <w:t xml:space="preserve"> of projects from </w:t>
      </w:r>
      <w:r w:rsidR="00EA2635">
        <w:t xml:space="preserve">2023 </w:t>
      </w:r>
      <w:r>
        <w:t xml:space="preserve">into </w:t>
      </w:r>
      <w:r w:rsidR="00EA2635">
        <w:t>2024</w:t>
      </w:r>
      <w:r>
        <w:t>.  It is assumed that funding of projects in 20</w:t>
      </w:r>
      <w:r w:rsidR="00775C45">
        <w:t>22</w:t>
      </w:r>
      <w:r>
        <w:t xml:space="preserve"> has been uniform across sectors and MDAs – therefore each sector/MDA should carry over a similar </w:t>
      </w:r>
      <w:r>
        <w:lastRenderedPageBreak/>
        <w:t xml:space="preserve">proportion of their projects to </w:t>
      </w:r>
      <w:r w:rsidR="00EA2635">
        <w:t>2024</w:t>
      </w:r>
      <w:r>
        <w:t xml:space="preserve">. If it is the case that some sectors have enjoyed more funding in </w:t>
      </w:r>
      <w:r w:rsidR="00EA2635">
        <w:t xml:space="preserve">2023 </w:t>
      </w:r>
      <w:r>
        <w:t>than other</w:t>
      </w:r>
      <w:r w:rsidR="00315653">
        <w:t>s</w:t>
      </w:r>
      <w:r>
        <w:t xml:space="preserve">, these sectors may not get such a high level of funding in </w:t>
      </w:r>
      <w:r w:rsidR="00EA2635">
        <w:t>2024</w:t>
      </w:r>
      <w:r>
        <w:t xml:space="preserve">. </w:t>
      </w:r>
    </w:p>
    <w:p w14:paraId="1A36490C" w14:textId="77777777" w:rsidR="00C96874" w:rsidRDefault="00C96874" w:rsidP="004D5FF4">
      <w:pPr>
        <w:pStyle w:val="NumberedPara"/>
        <w:tabs>
          <w:tab w:val="clear" w:pos="2127"/>
          <w:tab w:val="num" w:pos="2552"/>
        </w:tabs>
        <w:ind w:left="567"/>
      </w:pPr>
      <w:r>
        <w:t>Other considerations include:</w:t>
      </w:r>
    </w:p>
    <w:p w14:paraId="2F9D0A4E" w14:textId="31D5ACD6" w:rsidR="00C96874" w:rsidRDefault="00C96874" w:rsidP="00C96874">
      <w:pPr>
        <w:pStyle w:val="Bullet"/>
      </w:pPr>
      <w:r>
        <w:t xml:space="preserve">Commitment of Kaduna State Government to spend 45% on Education and </w:t>
      </w:r>
      <w:r w:rsidR="005610AD">
        <w:t>Health.</w:t>
      </w:r>
    </w:p>
    <w:p w14:paraId="36A12DF9" w14:textId="431E8F67" w:rsidR="00C96874" w:rsidRDefault="00775C45" w:rsidP="00775C45">
      <w:pPr>
        <w:pStyle w:val="Bullet"/>
      </w:pPr>
      <w:r w:rsidRPr="00775C45">
        <w:t>Creation of Kaduna State Enterprise Development Agency (KADEDA)</w:t>
      </w:r>
    </w:p>
    <w:p w14:paraId="5E080FDF" w14:textId="56184589" w:rsidR="00C96874" w:rsidRDefault="00775C45" w:rsidP="00775C45">
      <w:pPr>
        <w:pStyle w:val="Bullet"/>
      </w:pPr>
      <w:r w:rsidRPr="00775C45">
        <w:t>Maintaining the 60:40 ratio for Capital and Recurrent Expenditure</w:t>
      </w:r>
    </w:p>
    <w:p w14:paraId="7655CA0E" w14:textId="77777777" w:rsidR="00C96874" w:rsidRDefault="00C96874" w:rsidP="00C96874">
      <w:pPr>
        <w:pStyle w:val="StyleCaptionCentered"/>
      </w:pPr>
    </w:p>
    <w:p w14:paraId="54357871" w14:textId="77777777" w:rsidR="00C96874" w:rsidRDefault="00C96874" w:rsidP="00C96874">
      <w:pPr>
        <w:pStyle w:val="StyleCaptionCentered"/>
        <w:sectPr w:rsidR="00C96874" w:rsidSect="004F57E5">
          <w:pgSz w:w="11906" w:h="16838" w:code="9"/>
          <w:pgMar w:top="1440" w:right="1797" w:bottom="1440" w:left="1440" w:header="709" w:footer="709" w:gutter="0"/>
          <w:cols w:space="708"/>
          <w:docGrid w:linePitch="360"/>
        </w:sectPr>
      </w:pPr>
    </w:p>
    <w:p w14:paraId="225A5C8C" w14:textId="24AABEE8" w:rsidR="00C96874" w:rsidRDefault="00C96874" w:rsidP="00C96874">
      <w:pPr>
        <w:pStyle w:val="StyleCaptionCentered"/>
      </w:pPr>
      <w:bookmarkStart w:id="243" w:name="_Ref106576234"/>
      <w:bookmarkStart w:id="244" w:name="_Toc72918058"/>
      <w:bookmarkStart w:id="245" w:name="_Toc106568675"/>
      <w:bookmarkStart w:id="246" w:name="_Toc143179951"/>
      <w:r>
        <w:lastRenderedPageBreak/>
        <w:t xml:space="preserve">Table </w:t>
      </w:r>
      <w:r>
        <w:fldChar w:fldCharType="begin"/>
      </w:r>
      <w:r>
        <w:instrText xml:space="preserve"> SEQ Table \* ARABIC </w:instrText>
      </w:r>
      <w:r>
        <w:fldChar w:fldCharType="separate"/>
      </w:r>
      <w:r w:rsidR="00727B66">
        <w:rPr>
          <w:noProof/>
        </w:rPr>
        <w:t>14</w:t>
      </w:r>
      <w:r>
        <w:rPr>
          <w:noProof/>
        </w:rPr>
        <w:fldChar w:fldCharType="end"/>
      </w:r>
      <w:bookmarkEnd w:id="243"/>
      <w:r>
        <w:t>: Indicative Sector Personnel Expenditure Ceilings 202</w:t>
      </w:r>
      <w:r w:rsidR="00E42A88">
        <w:t>4</w:t>
      </w:r>
      <w:r>
        <w:t>-202</w:t>
      </w:r>
      <w:bookmarkEnd w:id="244"/>
      <w:bookmarkEnd w:id="245"/>
      <w:r w:rsidR="00E42A88">
        <w:t>6</w:t>
      </w:r>
      <w:bookmarkEnd w:id="246"/>
    </w:p>
    <w:p w14:paraId="7F9D23FF" w14:textId="074476FB" w:rsidR="00C96874" w:rsidRDefault="00E42A88" w:rsidP="00C96874">
      <w:pPr>
        <w:pStyle w:val="StyleCaptionCentered"/>
      </w:pPr>
      <w:r w:rsidRPr="00E42A88">
        <w:rPr>
          <w:noProof/>
          <w:lang w:val="en-US" w:eastAsia="en-US"/>
        </w:rPr>
        <w:drawing>
          <wp:inline distT="0" distB="0" distL="0" distR="0" wp14:anchorId="21475B6E" wp14:editId="2C6B67CB">
            <wp:extent cx="8862250" cy="3745065"/>
            <wp:effectExtent l="0" t="0" r="0" b="8255"/>
            <wp:docPr id="14884443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76448" cy="3751065"/>
                    </a:xfrm>
                    <a:prstGeom prst="rect">
                      <a:avLst/>
                    </a:prstGeom>
                    <a:noFill/>
                    <a:ln>
                      <a:noFill/>
                    </a:ln>
                  </pic:spPr>
                </pic:pic>
              </a:graphicData>
            </a:graphic>
          </wp:inline>
        </w:drawing>
      </w:r>
    </w:p>
    <w:p w14:paraId="4A7AF63B" w14:textId="000075E3" w:rsidR="00C96874" w:rsidRDefault="00C96874" w:rsidP="00C96874">
      <w:pPr>
        <w:pStyle w:val="Caption"/>
      </w:pPr>
      <w:r>
        <w:br w:type="page"/>
      </w:r>
      <w:bookmarkStart w:id="247" w:name="_Toc72918059"/>
      <w:bookmarkStart w:id="248" w:name="_Toc106568676"/>
      <w:bookmarkStart w:id="249" w:name="_Toc143179952"/>
      <w:r>
        <w:lastRenderedPageBreak/>
        <w:t xml:space="preserve">Table </w:t>
      </w:r>
      <w:r>
        <w:fldChar w:fldCharType="begin"/>
      </w:r>
      <w:r>
        <w:instrText xml:space="preserve"> SEQ Table \* ARABIC </w:instrText>
      </w:r>
      <w:r>
        <w:fldChar w:fldCharType="separate"/>
      </w:r>
      <w:r w:rsidR="00727B66">
        <w:rPr>
          <w:noProof/>
        </w:rPr>
        <w:t>15</w:t>
      </w:r>
      <w:r>
        <w:rPr>
          <w:noProof/>
        </w:rPr>
        <w:fldChar w:fldCharType="end"/>
      </w:r>
      <w:r>
        <w:t>: Indicative Sector Overhead Expenditure Ceilings 202</w:t>
      </w:r>
      <w:r w:rsidR="00807958">
        <w:t>4</w:t>
      </w:r>
      <w:r>
        <w:t>-202</w:t>
      </w:r>
      <w:bookmarkEnd w:id="247"/>
      <w:bookmarkEnd w:id="248"/>
      <w:r w:rsidR="00807958">
        <w:t>6</w:t>
      </w:r>
      <w:bookmarkEnd w:id="249"/>
    </w:p>
    <w:p w14:paraId="6A45145E" w14:textId="5ADE48D6" w:rsidR="00C96874" w:rsidRDefault="00E42A88" w:rsidP="00C96874">
      <w:pPr>
        <w:pStyle w:val="StyleCaptionCentered"/>
      </w:pPr>
      <w:r w:rsidRPr="00E42A88">
        <w:rPr>
          <w:noProof/>
          <w:lang w:val="en-US" w:eastAsia="en-US"/>
        </w:rPr>
        <w:drawing>
          <wp:inline distT="0" distB="0" distL="0" distR="0" wp14:anchorId="34737CA8" wp14:editId="7A8E6B90">
            <wp:extent cx="8861982" cy="4349364"/>
            <wp:effectExtent l="0" t="0" r="0" b="0"/>
            <wp:docPr id="7809151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72719" cy="4354633"/>
                    </a:xfrm>
                    <a:prstGeom prst="rect">
                      <a:avLst/>
                    </a:prstGeom>
                    <a:noFill/>
                    <a:ln>
                      <a:noFill/>
                    </a:ln>
                  </pic:spPr>
                </pic:pic>
              </a:graphicData>
            </a:graphic>
          </wp:inline>
        </w:drawing>
      </w:r>
    </w:p>
    <w:p w14:paraId="772B394E" w14:textId="7209DE5F" w:rsidR="00C96874" w:rsidRDefault="00C96874" w:rsidP="00C96874">
      <w:pPr>
        <w:pStyle w:val="StyleCaptionCentered"/>
      </w:pPr>
      <w:r>
        <w:br w:type="page"/>
      </w:r>
      <w:bookmarkStart w:id="250" w:name="_Toc72918060"/>
      <w:bookmarkStart w:id="251" w:name="_Toc106568677"/>
      <w:bookmarkStart w:id="252" w:name="_Toc143179953"/>
      <w:r>
        <w:lastRenderedPageBreak/>
        <w:t xml:space="preserve">Table </w:t>
      </w:r>
      <w:r>
        <w:fldChar w:fldCharType="begin"/>
      </w:r>
      <w:r>
        <w:instrText xml:space="preserve"> SEQ Table \* ARABIC </w:instrText>
      </w:r>
      <w:r>
        <w:fldChar w:fldCharType="separate"/>
      </w:r>
      <w:r w:rsidR="00727B66">
        <w:rPr>
          <w:noProof/>
        </w:rPr>
        <w:t>16</w:t>
      </w:r>
      <w:r>
        <w:rPr>
          <w:noProof/>
        </w:rPr>
        <w:fldChar w:fldCharType="end"/>
      </w:r>
      <w:r>
        <w:t>: Indicative Sector Capital Expenditure Ceilings 202</w:t>
      </w:r>
      <w:r w:rsidR="00807958">
        <w:t>4</w:t>
      </w:r>
      <w:r>
        <w:t>-202</w:t>
      </w:r>
      <w:bookmarkEnd w:id="250"/>
      <w:bookmarkEnd w:id="251"/>
      <w:r w:rsidR="00807958">
        <w:t>6</w:t>
      </w:r>
      <w:bookmarkEnd w:id="252"/>
    </w:p>
    <w:p w14:paraId="50425966" w14:textId="36A83DEE" w:rsidR="00C96874" w:rsidRDefault="00A720D8" w:rsidP="00431884">
      <w:pPr>
        <w:pStyle w:val="StyleCaptionCentered"/>
        <w:ind w:hanging="810"/>
        <w:jc w:val="left"/>
      </w:pPr>
      <w:r w:rsidRPr="00A720D8">
        <w:drawing>
          <wp:inline distT="0" distB="0" distL="0" distR="0" wp14:anchorId="1548D6A0" wp14:editId="71B6A9C5">
            <wp:extent cx="9740045" cy="2827606"/>
            <wp:effectExtent l="0" t="0" r="0" b="0"/>
            <wp:docPr id="546786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99722" cy="2844931"/>
                    </a:xfrm>
                    <a:prstGeom prst="rect">
                      <a:avLst/>
                    </a:prstGeom>
                    <a:noFill/>
                    <a:ln>
                      <a:noFill/>
                    </a:ln>
                  </pic:spPr>
                </pic:pic>
              </a:graphicData>
            </a:graphic>
          </wp:inline>
        </w:drawing>
      </w:r>
    </w:p>
    <w:p w14:paraId="1C6C85D5" w14:textId="77777777" w:rsidR="00C96874" w:rsidRDefault="00C96874" w:rsidP="00C96874">
      <w:pPr>
        <w:pStyle w:val="StyleCaptionCentered"/>
        <w:ind w:hanging="1134"/>
      </w:pPr>
    </w:p>
    <w:p w14:paraId="1A29FD18" w14:textId="77777777" w:rsidR="0032567C" w:rsidRDefault="00C96874" w:rsidP="0032567C">
      <w:pPr>
        <w:pStyle w:val="Caption"/>
        <w:sectPr w:rsidR="0032567C" w:rsidSect="004F57E5">
          <w:pgSz w:w="16838" w:h="11906" w:orient="landscape" w:code="9"/>
          <w:pgMar w:top="1258" w:right="1440" w:bottom="1438" w:left="1440" w:header="709" w:footer="709" w:gutter="0"/>
          <w:cols w:space="708"/>
          <w:docGrid w:linePitch="360"/>
        </w:sectPr>
      </w:pPr>
      <w:r>
        <w:br w:type="page"/>
      </w:r>
    </w:p>
    <w:p w14:paraId="708759D6" w14:textId="77777777" w:rsidR="00C96874" w:rsidRDefault="00C96874" w:rsidP="00C96874">
      <w:pPr>
        <w:pStyle w:val="Heading2"/>
      </w:pPr>
      <w:bookmarkStart w:id="253" w:name="_Toc14448437"/>
      <w:bookmarkStart w:id="254" w:name="_Toc106568643"/>
      <w:bookmarkStart w:id="255" w:name="_Toc143179812"/>
      <w:r>
        <w:lastRenderedPageBreak/>
        <w:t>Considerations for the Annual Budget Process</w:t>
      </w:r>
      <w:bookmarkEnd w:id="253"/>
      <w:bookmarkEnd w:id="254"/>
      <w:bookmarkEnd w:id="255"/>
    </w:p>
    <w:p w14:paraId="138E67EC" w14:textId="691F490A" w:rsidR="00C96874" w:rsidRDefault="00C96874" w:rsidP="004D5FF4">
      <w:pPr>
        <w:pStyle w:val="NumberedPara"/>
        <w:tabs>
          <w:tab w:val="clear" w:pos="2127"/>
          <w:tab w:val="num" w:pos="2410"/>
        </w:tabs>
        <w:ind w:left="567"/>
      </w:pPr>
      <w:r>
        <w:t xml:space="preserve">Each MDA should follow the steps below in preparing its </w:t>
      </w:r>
      <w:r w:rsidR="00EA2635">
        <w:t xml:space="preserve">2024 </w:t>
      </w:r>
      <w:r>
        <w:t>budget:</w:t>
      </w:r>
    </w:p>
    <w:p w14:paraId="593581E7" w14:textId="7041F89F" w:rsidR="00C96874" w:rsidRDefault="00C96874" w:rsidP="00C96874">
      <w:pPr>
        <w:pStyle w:val="Bullet"/>
      </w:pPr>
      <w:r>
        <w:t>Prioritization of 20</w:t>
      </w:r>
      <w:r w:rsidR="00315653">
        <w:t>2</w:t>
      </w:r>
      <w:r w:rsidR="00EA2635">
        <w:t>3</w:t>
      </w:r>
      <w:r>
        <w:t xml:space="preserve"> Ongoing Projects</w:t>
      </w:r>
    </w:p>
    <w:p w14:paraId="74C56B75" w14:textId="77777777" w:rsidR="00C96874" w:rsidRDefault="00C96874" w:rsidP="00C96874">
      <w:pPr>
        <w:pStyle w:val="Bullet"/>
      </w:pPr>
      <w:r>
        <w:t>Ensure New Projects emerge from SIP/SDP</w:t>
      </w:r>
    </w:p>
    <w:p w14:paraId="54B860F6" w14:textId="77777777" w:rsidR="00C96874" w:rsidRDefault="00C96874" w:rsidP="00C96874">
      <w:pPr>
        <w:pStyle w:val="Bullet"/>
      </w:pPr>
      <w:r>
        <w:t>Allocate Resources</w:t>
      </w:r>
    </w:p>
    <w:p w14:paraId="406CA824" w14:textId="060C529A" w:rsidR="00C96874" w:rsidRDefault="00C96874" w:rsidP="004D5FF4">
      <w:pPr>
        <w:pStyle w:val="NumberedPara"/>
        <w:tabs>
          <w:tab w:val="clear" w:pos="2127"/>
        </w:tabs>
        <w:ind w:left="567"/>
      </w:pPr>
      <w:r>
        <w:t>Capital Expenditure:</w:t>
      </w:r>
      <w:r w:rsidRPr="005914AD">
        <w:t xml:space="preserve"> MDAs are advised to ensure that all ongoing projects that are unlikely to b</w:t>
      </w:r>
      <w:r>
        <w:t>e completed and paid for in 20</w:t>
      </w:r>
      <w:r w:rsidR="00B427BD">
        <w:t>2</w:t>
      </w:r>
      <w:r w:rsidR="00EA2635">
        <w:t>3</w:t>
      </w:r>
      <w:r>
        <w:t xml:space="preserve"> are captured in their 202</w:t>
      </w:r>
      <w:r w:rsidR="00EA2635">
        <w:t>4</w:t>
      </w:r>
      <w:r w:rsidRPr="005914AD">
        <w:t xml:space="preserve"> Budget. Where ongoing projects exceed ceilings, the MDA’s 20</w:t>
      </w:r>
      <w:r w:rsidR="00B427BD">
        <w:t>2</w:t>
      </w:r>
      <w:r w:rsidR="00EA2635">
        <w:t>4</w:t>
      </w:r>
      <w:r w:rsidRPr="005914AD">
        <w:t xml:space="preserve"> budget is to be limited to the value of ongoing projects only. </w:t>
      </w:r>
      <w:r>
        <w:t>Ensure New Projects emerge only from SIP/SDP: For new projects, each Ministry should work with its respective MDAs to reassess its Sector Implementation Plan (SIP) against the State Development Plan (SDP). Sector development priorities should then be prioritized based on MDA capital ceilings allocated. MDAs may wish to hold internal management meetings to ensure a coherent strategy, but these must be aligned with overall sector priorities as defined in the SIP.</w:t>
      </w:r>
    </w:p>
    <w:p w14:paraId="237B40B3" w14:textId="4DF8AB13" w:rsidR="00C96874" w:rsidRDefault="00C96874" w:rsidP="004D5FF4">
      <w:pPr>
        <w:pStyle w:val="NumberedPara"/>
        <w:tabs>
          <w:tab w:val="clear" w:pos="2127"/>
        </w:tabs>
        <w:ind w:left="567"/>
      </w:pPr>
      <w:r>
        <w:t>Allocate resources: Resources should be allocated starting from the highest priority activities and continuing in sequence down to lower priority activities until the budget ceiling is reached. This becomes the cut-off point for resource allocations for that year, except for projects with special funding arrangements (</w:t>
      </w:r>
      <w:r w:rsidR="00B427BD">
        <w:t>e.g.,</w:t>
      </w:r>
      <w:r>
        <w:t xml:space="preserve"> grant allocations). Projects that do not make the cut for </w:t>
      </w:r>
      <w:r w:rsidR="00EA2635">
        <w:t xml:space="preserve">2023 </w:t>
      </w:r>
      <w:r>
        <w:t xml:space="preserve">can then be moved to </w:t>
      </w:r>
      <w:r w:rsidR="00EA2635">
        <w:t xml:space="preserve">2024 </w:t>
      </w:r>
      <w:r>
        <w:t xml:space="preserve">and </w:t>
      </w:r>
      <w:r w:rsidR="00EA2635">
        <w:t xml:space="preserve">2026 </w:t>
      </w:r>
      <w:r>
        <w:t>respectively.</w:t>
      </w:r>
    </w:p>
    <w:p w14:paraId="4A6DE1C7" w14:textId="77777777" w:rsidR="00C96874" w:rsidRDefault="00C96874" w:rsidP="004D5FF4">
      <w:pPr>
        <w:pStyle w:val="NumberedPara"/>
        <w:tabs>
          <w:tab w:val="clear" w:pos="2127"/>
        </w:tabs>
        <w:ind w:left="567"/>
      </w:pPr>
      <w:r>
        <w:t>The following will be helpful to keep in mind as you assess each activity within the budget:</w:t>
      </w:r>
    </w:p>
    <w:p w14:paraId="747B6575" w14:textId="79F57CBA" w:rsidR="00C96874" w:rsidRDefault="00C96874" w:rsidP="006E68ED">
      <w:pPr>
        <w:pStyle w:val="Bullet"/>
        <w:jc w:val="both"/>
      </w:pPr>
      <w:r>
        <w:t>General - Budget estimates should be prepared for all units, sub-</w:t>
      </w:r>
      <w:proofErr w:type="gramStart"/>
      <w:r>
        <w:t>units</w:t>
      </w:r>
      <w:proofErr w:type="gramEnd"/>
      <w:r>
        <w:t xml:space="preserve"> and facilities in the organizations for which the MDA is </w:t>
      </w:r>
      <w:r w:rsidR="004D5FF4">
        <w:t>responsible.</w:t>
      </w:r>
    </w:p>
    <w:p w14:paraId="3CF0355C" w14:textId="77777777" w:rsidR="00C96874" w:rsidRDefault="00C96874" w:rsidP="006E68ED">
      <w:pPr>
        <w:pStyle w:val="Bullet"/>
        <w:jc w:val="both"/>
      </w:pPr>
      <w:r>
        <w:t>Personnel Costs - All staff on the payroll, including Political, Public office holders must be properly reflected in a Staff List that should accompany the proposal submission. The Staff list must be updated versions from the biometric verification exercise and should be signed off by the Chief Executives who assume responsibility for ensuring the veracity of the information provided. Chief Executives are also expected to perform an independent assessment of the true staff position of their MDAs and ensure this is reflected in the staff list to be sent to the PBC.</w:t>
      </w:r>
    </w:p>
    <w:p w14:paraId="663BEE00" w14:textId="0971293C" w:rsidR="00C96874" w:rsidRDefault="00C96874" w:rsidP="006E68ED">
      <w:pPr>
        <w:pStyle w:val="Bullet"/>
        <w:jc w:val="both"/>
      </w:pPr>
      <w:r>
        <w:t xml:space="preserve">Personnel cost estimates should consider any changes in staffing levels including annual increments, promotions, leave grants, </w:t>
      </w:r>
      <w:r w:rsidR="00B427BD">
        <w:t>retirement,</w:t>
      </w:r>
      <w:r>
        <w:t xml:space="preserve"> implementation of the minimum wage and other forms of attrition. It should also consider implications for annual salary and all other approved allowances.</w:t>
      </w:r>
    </w:p>
    <w:p w14:paraId="24265F34" w14:textId="6CA2A80F" w:rsidR="00C96874" w:rsidRDefault="00C96874" w:rsidP="006E68ED">
      <w:pPr>
        <w:pStyle w:val="Bullet"/>
        <w:jc w:val="both"/>
      </w:pPr>
      <w:r>
        <w:t xml:space="preserve">Recruitment that is not approved by the Government before the submission of this estimate should not be </w:t>
      </w:r>
      <w:r w:rsidR="001A5E6C">
        <w:t>captured.</w:t>
      </w:r>
    </w:p>
    <w:p w14:paraId="6F1F0243" w14:textId="7F5A7F79" w:rsidR="00C96874" w:rsidRDefault="00C96874" w:rsidP="006E68ED">
      <w:pPr>
        <w:pStyle w:val="Bullet"/>
        <w:jc w:val="both"/>
      </w:pPr>
      <w:r>
        <w:t xml:space="preserve">For approved recruitment, approval authorization should be included with the </w:t>
      </w:r>
      <w:r w:rsidR="001A5E6C">
        <w:t>submission.</w:t>
      </w:r>
    </w:p>
    <w:p w14:paraId="13A6C345" w14:textId="77777777" w:rsidR="00C96874" w:rsidRDefault="00C96874" w:rsidP="006E68ED">
      <w:pPr>
        <w:pStyle w:val="Bullet"/>
        <w:jc w:val="both"/>
      </w:pPr>
      <w:r>
        <w:t>Capital Expenditure - Capital expenditure estimates must be consistent with Kaduna State Development Plan. Capital projects that are tied to specific sources of funds (grants, loans, etc.), should be matched with the expected drawdown schedule of those specific funds and any Counterpart funds provided by the State.</w:t>
      </w:r>
    </w:p>
    <w:p w14:paraId="7F9DFC83" w14:textId="131D4E71" w:rsidR="00C96874" w:rsidRPr="0001652D" w:rsidRDefault="00C96874" w:rsidP="006E68ED">
      <w:pPr>
        <w:pStyle w:val="Bullet"/>
        <w:jc w:val="both"/>
      </w:pPr>
      <w:r>
        <w:t xml:space="preserve">Where the drawdown of the specified funds is conditional on the provision of Counterpart funds, it should be clearly indicated in the </w:t>
      </w:r>
      <w:r w:rsidR="001A5E6C">
        <w:t>submission.</w:t>
      </w:r>
    </w:p>
    <w:p w14:paraId="6AED349C" w14:textId="77777777" w:rsidR="00C96874" w:rsidRDefault="00C96874" w:rsidP="00C96874">
      <w:pPr>
        <w:pStyle w:val="Heading1"/>
      </w:pPr>
      <w:bookmarkStart w:id="256" w:name="_Toc14448438"/>
      <w:bookmarkStart w:id="257" w:name="_Toc106568644"/>
      <w:bookmarkStart w:id="258" w:name="_Toc143179813"/>
      <w:r>
        <w:lastRenderedPageBreak/>
        <w:t xml:space="preserve">Summary of Key Points </w:t>
      </w:r>
      <w:bookmarkEnd w:id="218"/>
      <w:bookmarkEnd w:id="219"/>
      <w:r>
        <w:t>and Recommendations</w:t>
      </w:r>
      <w:bookmarkEnd w:id="256"/>
      <w:bookmarkEnd w:id="257"/>
      <w:bookmarkEnd w:id="258"/>
    </w:p>
    <w:p w14:paraId="29082ACD" w14:textId="77777777" w:rsidR="00C96874" w:rsidRDefault="00C96874" w:rsidP="004D5FF4">
      <w:pPr>
        <w:pStyle w:val="NumberedPara"/>
        <w:tabs>
          <w:tab w:val="clear" w:pos="2127"/>
        </w:tabs>
        <w:ind w:left="567"/>
      </w:pPr>
      <w:r>
        <w:t>We summarise below a list of the key points arising in this document:</w:t>
      </w:r>
    </w:p>
    <w:p w14:paraId="395EC421" w14:textId="735CD13B" w:rsidR="00C96874" w:rsidRDefault="00C96874" w:rsidP="00C96874">
      <w:pPr>
        <w:pStyle w:val="Bullet"/>
        <w:jc w:val="both"/>
      </w:pPr>
      <w:r>
        <w:t>The Commissioner, Planning and Budget Commission (PBC) should present the draft MTEF document to the Executive Council (</w:t>
      </w:r>
      <w:proofErr w:type="spellStart"/>
      <w:r>
        <w:t>ExCo</w:t>
      </w:r>
      <w:proofErr w:type="spellEnd"/>
      <w:r>
        <w:t>), and the Governor should present the final MTEF to</w:t>
      </w:r>
      <w:r w:rsidR="00B427BD">
        <w:t xml:space="preserve"> the</w:t>
      </w:r>
      <w:r>
        <w:t xml:space="preserve"> State House of Assembly (SHoA) for their buy-in and approval in accordance with the Fiscal Responsibility Law (FRL).</w:t>
      </w:r>
    </w:p>
    <w:p w14:paraId="0396EEAC" w14:textId="77777777" w:rsidR="00C96874" w:rsidRDefault="00C96874" w:rsidP="00C96874">
      <w:pPr>
        <w:pStyle w:val="Bullet"/>
        <w:jc w:val="both"/>
      </w:pPr>
      <w:r>
        <w:t>The State budget estimates should be based on the MTEF document, which has historically provided more realistic estimates than have been included in the Annual Budget.</w:t>
      </w:r>
    </w:p>
    <w:p w14:paraId="504EF74D" w14:textId="77777777" w:rsidR="00C96874" w:rsidRDefault="00C96874" w:rsidP="00C96874">
      <w:pPr>
        <w:pStyle w:val="Bullet"/>
        <w:jc w:val="both"/>
      </w:pPr>
      <w:r>
        <w:t xml:space="preserve">Loans expected to be drawn as capital receipts should be captured in the budget only when they have been approved and commitment fees are paid, and documentation is lodged with Debt Management Department (DMD). </w:t>
      </w:r>
    </w:p>
    <w:p w14:paraId="0072355F" w14:textId="77777777" w:rsidR="00C96874" w:rsidRDefault="00C96874" w:rsidP="00C96874">
      <w:pPr>
        <w:pStyle w:val="Bullet"/>
        <w:jc w:val="both"/>
      </w:pPr>
      <w:r>
        <w:t xml:space="preserve">For all loans, the precise impact on debt sustainability ratios should be assessed, and a detailed analysis of the impact of the associated expenditure (for example, Economic &amp; Financial Analysis) is also undertaken to help justify the funding to the Senate Committee on Foreign Loans (this should be undertaken for the World Bank P4R loan). </w:t>
      </w:r>
    </w:p>
    <w:p w14:paraId="38761C4F" w14:textId="487E88B2" w:rsidR="00C96874" w:rsidRDefault="00C96874" w:rsidP="00C96874">
      <w:pPr>
        <w:pStyle w:val="Bullet"/>
        <w:jc w:val="both"/>
      </w:pPr>
      <w:r>
        <w:t>A full assessment of 20</w:t>
      </w:r>
      <w:r w:rsidR="001C373C">
        <w:t>2</w:t>
      </w:r>
      <w:r w:rsidR="00EA2635">
        <w:t>3</w:t>
      </w:r>
      <w:r>
        <w:t xml:space="preserve"> Capital Project implementation (funding) should be undertak</w:t>
      </w:r>
      <w:r w:rsidR="00B427BD">
        <w:t>en</w:t>
      </w:r>
      <w:r>
        <w:t xml:space="preserve"> prior to the finalisation of the </w:t>
      </w:r>
      <w:r w:rsidR="00EA2635">
        <w:t xml:space="preserve">2024 </w:t>
      </w:r>
      <w:r>
        <w:t xml:space="preserve">budget so as adequate provisions are made to complete all ongoing </w:t>
      </w:r>
      <w:r w:rsidR="004D5FF4">
        <w:t>projects.</w:t>
      </w:r>
      <w:r>
        <w:t xml:space="preserve"> </w:t>
      </w:r>
    </w:p>
    <w:p w14:paraId="2628CF47" w14:textId="77777777" w:rsidR="00C96874" w:rsidRDefault="00C96874" w:rsidP="00C96874">
      <w:pPr>
        <w:pStyle w:val="Bullet"/>
        <w:jc w:val="both"/>
      </w:pPr>
      <w:r>
        <w:t>The Accountant General's Report format should be harmonized with the budgeting system.</w:t>
      </w:r>
    </w:p>
    <w:p w14:paraId="06A4AE2A" w14:textId="77777777" w:rsidR="00C96874" w:rsidRDefault="00C96874" w:rsidP="00C96874">
      <w:pPr>
        <w:pStyle w:val="Bullet"/>
        <w:jc w:val="both"/>
      </w:pPr>
      <w:r>
        <w:t>PBC and the Ministry of Finance (MoF) to hold harmonization meetings on quarterly basis.</w:t>
      </w:r>
    </w:p>
    <w:p w14:paraId="76BA2CCA" w14:textId="77777777" w:rsidR="00C96874" w:rsidRDefault="00C96874" w:rsidP="00C96874">
      <w:pPr>
        <w:pStyle w:val="Bullet"/>
        <w:jc w:val="both"/>
      </w:pPr>
      <w:r>
        <w:t>PBC and MoF to ensure the sustainability of the MTEF Working Group.</w:t>
      </w:r>
    </w:p>
    <w:p w14:paraId="5F552FAD" w14:textId="77777777" w:rsidR="00C96874" w:rsidRDefault="00C96874" w:rsidP="00C96874">
      <w:pPr>
        <w:pStyle w:val="Bullet"/>
        <w:jc w:val="both"/>
        <w:sectPr w:rsidR="00C96874" w:rsidSect="004F57E5">
          <w:pgSz w:w="11906" w:h="16838" w:code="9"/>
          <w:pgMar w:top="1440" w:right="1797" w:bottom="1440" w:left="1440" w:header="709" w:footer="709" w:gutter="0"/>
          <w:cols w:space="708"/>
          <w:docGrid w:linePitch="360"/>
        </w:sectPr>
      </w:pPr>
    </w:p>
    <w:p w14:paraId="0A5DEDC8" w14:textId="51BA96DD" w:rsidR="00C96874" w:rsidRDefault="00C96874" w:rsidP="007F359B">
      <w:pPr>
        <w:pStyle w:val="Heading1"/>
        <w:numPr>
          <w:ilvl w:val="0"/>
          <w:numId w:val="0"/>
        </w:numPr>
        <w:ind w:left="2268" w:hanging="2268"/>
      </w:pPr>
      <w:bookmarkStart w:id="259" w:name="_Toc14448439"/>
      <w:bookmarkStart w:id="260" w:name="_Toc106568645"/>
      <w:bookmarkStart w:id="261" w:name="_Toc143179814"/>
      <w:r>
        <w:lastRenderedPageBreak/>
        <w:t>Annex 1 – Detailed Capital Receipts</w:t>
      </w:r>
      <w:bookmarkEnd w:id="259"/>
      <w:bookmarkEnd w:id="260"/>
      <w:bookmarkEnd w:id="261"/>
    </w:p>
    <w:p w14:paraId="5077D311" w14:textId="37322DCD" w:rsidR="00C96874" w:rsidRDefault="00C96874" w:rsidP="00A720D8">
      <w:pPr>
        <w:pStyle w:val="Caption"/>
      </w:pPr>
      <w:bookmarkStart w:id="262" w:name="_Toc72918062"/>
      <w:bookmarkStart w:id="263" w:name="_Toc106568679"/>
      <w:bookmarkStart w:id="264" w:name="_Toc143179954"/>
      <w:r>
        <w:t xml:space="preserve">Table </w:t>
      </w:r>
      <w:r>
        <w:fldChar w:fldCharType="begin"/>
      </w:r>
      <w:r>
        <w:instrText xml:space="preserve"> SEQ Table \* ARABIC </w:instrText>
      </w:r>
      <w:r>
        <w:fldChar w:fldCharType="separate"/>
      </w:r>
      <w:r w:rsidR="00727B66">
        <w:rPr>
          <w:noProof/>
        </w:rPr>
        <w:t>17</w:t>
      </w:r>
      <w:r>
        <w:rPr>
          <w:noProof/>
        </w:rPr>
        <w:fldChar w:fldCharType="end"/>
      </w:r>
      <w:r>
        <w:t xml:space="preserve"> Capital Receipts</w:t>
      </w:r>
      <w:bookmarkEnd w:id="262"/>
      <w:bookmarkEnd w:id="263"/>
      <w:bookmarkEnd w:id="264"/>
      <w:r w:rsidR="00A720D8" w:rsidRPr="00A720D8">
        <w:drawing>
          <wp:inline distT="0" distB="0" distL="0" distR="0" wp14:anchorId="1B13D835" wp14:editId="635A2EB6">
            <wp:extent cx="8563800" cy="4798337"/>
            <wp:effectExtent l="0" t="0" r="8890" b="2540"/>
            <wp:docPr id="10331747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94498" cy="4815537"/>
                    </a:xfrm>
                    <a:prstGeom prst="rect">
                      <a:avLst/>
                    </a:prstGeom>
                    <a:noFill/>
                    <a:ln>
                      <a:noFill/>
                    </a:ln>
                  </pic:spPr>
                </pic:pic>
              </a:graphicData>
            </a:graphic>
          </wp:inline>
        </w:drawing>
      </w:r>
    </w:p>
    <w:p w14:paraId="67654A72" w14:textId="7A824B30" w:rsidR="00A720D8" w:rsidRPr="00A720D8" w:rsidRDefault="00A720D8" w:rsidP="00A720D8">
      <w:pPr>
        <w:ind w:left="284"/>
      </w:pPr>
      <w:r w:rsidRPr="00A720D8">
        <w:lastRenderedPageBreak/>
        <w:drawing>
          <wp:inline distT="0" distB="0" distL="0" distR="0" wp14:anchorId="42862F80" wp14:editId="697DF27F">
            <wp:extent cx="8617148" cy="1955165"/>
            <wp:effectExtent l="0" t="0" r="0" b="6985"/>
            <wp:docPr id="1429111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30596" cy="1958216"/>
                    </a:xfrm>
                    <a:prstGeom prst="rect">
                      <a:avLst/>
                    </a:prstGeom>
                    <a:noFill/>
                    <a:ln>
                      <a:noFill/>
                    </a:ln>
                  </pic:spPr>
                </pic:pic>
              </a:graphicData>
            </a:graphic>
          </wp:inline>
        </w:drawing>
      </w:r>
    </w:p>
    <w:p w14:paraId="7201B21A" w14:textId="7D0F88F0" w:rsidR="00A720D8" w:rsidRPr="00A720D8" w:rsidRDefault="00A720D8" w:rsidP="00A720D8"/>
    <w:p w14:paraId="3564B051" w14:textId="3EFB6202" w:rsidR="00A720D8" w:rsidRPr="00A720D8" w:rsidRDefault="00A720D8" w:rsidP="00A720D8">
      <w:pPr>
        <w:jc w:val="center"/>
      </w:pPr>
    </w:p>
    <w:bookmarkEnd w:id="235"/>
    <w:p w14:paraId="405AB89E" w14:textId="0B166AFE" w:rsidR="00416079" w:rsidRDefault="00A720D8" w:rsidP="00616C6A">
      <w:pPr>
        <w:ind w:left="426"/>
        <w:jc w:val="center"/>
      </w:pPr>
      <w:r w:rsidRPr="00A720D8">
        <w:lastRenderedPageBreak/>
        <w:drawing>
          <wp:inline distT="0" distB="0" distL="0" distR="0" wp14:anchorId="4C2C25B7" wp14:editId="5EE4BE92">
            <wp:extent cx="8605960" cy="6240290"/>
            <wp:effectExtent l="0" t="0" r="5080" b="8255"/>
            <wp:docPr id="13621978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55177" cy="6275978"/>
                    </a:xfrm>
                    <a:prstGeom prst="rect">
                      <a:avLst/>
                    </a:prstGeom>
                    <a:noFill/>
                    <a:ln>
                      <a:noFill/>
                    </a:ln>
                  </pic:spPr>
                </pic:pic>
              </a:graphicData>
            </a:graphic>
          </wp:inline>
        </w:drawing>
      </w:r>
    </w:p>
    <w:sectPr w:rsidR="00416079" w:rsidSect="004F57E5">
      <w:pgSz w:w="16838" w:h="11906" w:orient="landscape" w:code="9"/>
      <w:pgMar w:top="1440" w:right="1440" w:bottom="1797"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9" w:author="Chris Rowe" w:date="2023-06-21T10:08:00Z" w:initials="CR">
    <w:p w14:paraId="45A2509E" w14:textId="2714756C" w:rsidR="00D42AA7" w:rsidRDefault="00D42AA7" w:rsidP="00D42AA7">
      <w:pPr>
        <w:pStyle w:val="CommentText"/>
      </w:pPr>
      <w:r>
        <w:rPr>
          <w:rStyle w:val="CommentReference"/>
        </w:rPr>
        <w:annotationRef/>
      </w:r>
      <w:r>
        <w:t>See if you can update this section based on the latest OPEC MOMR (May 2023)</w:t>
      </w:r>
    </w:p>
  </w:comment>
  <w:comment w:id="131" w:author="Bashir Ladan" w:date="2023-08-05T21:55:00Z" w:initials="BL">
    <w:p w14:paraId="5D7B09DD" w14:textId="77777777" w:rsidR="00477479" w:rsidRDefault="00477479" w:rsidP="00477479">
      <w:pPr>
        <w:pStyle w:val="CommentText"/>
      </w:pPr>
      <w:r>
        <w:rPr>
          <w:rStyle w:val="CommentReference"/>
        </w:rPr>
        <w:annotationRef/>
      </w:r>
      <w:r>
        <w:t>How can this affect Statutory Allocation?</w:t>
      </w:r>
    </w:p>
  </w:comment>
  <w:comment w:id="140" w:author="Chris Rowe" w:date="2023-06-21T10:23:00Z" w:initials="CR">
    <w:p w14:paraId="4C8F9841" w14:textId="40CA9E97" w:rsidR="00D42AA7" w:rsidRDefault="00D42AA7" w:rsidP="00D42AA7">
      <w:pPr>
        <w:pStyle w:val="CommentText"/>
      </w:pPr>
      <w:r>
        <w:rPr>
          <w:rStyle w:val="CommentReference"/>
        </w:rPr>
        <w:annotationRef/>
      </w:r>
      <w:r>
        <w:t>There is need to explain what the large amount in 2021 is for? It is too bit to be paris club</w:t>
      </w:r>
    </w:p>
  </w:comment>
  <w:comment w:id="144" w:author="Chris Rowe" w:date="2023-06-21T10:25:00Z" w:initials="CR">
    <w:p w14:paraId="3F7A50DA" w14:textId="77777777" w:rsidR="00D42AA7" w:rsidRDefault="00D42AA7" w:rsidP="00D42AA7">
      <w:pPr>
        <w:pStyle w:val="CommentText"/>
      </w:pPr>
      <w:r>
        <w:rPr>
          <w:rStyle w:val="CommentReference"/>
        </w:rPr>
        <w:annotationRef/>
      </w:r>
      <w:r>
        <w:t xml:space="preserve">There must be a lot of missing data here - I am sure KDSG took looks in 2019, 2020 and 2022. Also, the figure for 2021 looks wrong (it is far to high). </w:t>
      </w:r>
    </w:p>
  </w:comment>
  <w:comment w:id="146" w:author="Chris Rowe" w:date="2023-06-21T10:25:00Z" w:initials="CR">
    <w:p w14:paraId="6B731C4C" w14:textId="77777777" w:rsidR="00D42AA7" w:rsidRDefault="00D42AA7" w:rsidP="00D42AA7">
      <w:pPr>
        <w:pStyle w:val="CommentText"/>
      </w:pPr>
      <w:r>
        <w:rPr>
          <w:rStyle w:val="CommentReference"/>
        </w:rPr>
        <w:annotationRef/>
      </w:r>
      <w:r>
        <w:t>As with revenue, this section needs updating to reflect that this is the 2024-2026 MTEF</w:t>
      </w:r>
    </w:p>
  </w:comment>
  <w:comment w:id="149" w:author="Chris Rowe" w:date="2023-06-21T10:27:00Z" w:initials="CR">
    <w:p w14:paraId="7B6550BE" w14:textId="77777777" w:rsidR="00D42AA7" w:rsidRDefault="00D42AA7" w:rsidP="00D42AA7">
      <w:pPr>
        <w:pStyle w:val="CommentText"/>
      </w:pPr>
      <w:r>
        <w:rPr>
          <w:rStyle w:val="CommentReference"/>
        </w:rPr>
        <w:annotationRef/>
      </w:r>
      <w:r>
        <w:t>Need to explain the large jump in 2022 in the narrative below</w:t>
      </w:r>
    </w:p>
  </w:comment>
  <w:comment w:id="155" w:author="Chris Rowe" w:date="2023-06-21T10:26:00Z" w:initials="CR">
    <w:p w14:paraId="75075619" w14:textId="77777777" w:rsidR="00D42AA7" w:rsidRDefault="00D42AA7" w:rsidP="00710214">
      <w:pPr>
        <w:pStyle w:val="CommentText"/>
      </w:pPr>
      <w:r>
        <w:rPr>
          <w:rStyle w:val="CommentReference"/>
        </w:rPr>
        <w:annotationRef/>
      </w:r>
      <w:r>
        <w:t>Please add some narrative for this graph</w:t>
      </w:r>
    </w:p>
  </w:comment>
  <w:comment w:id="159" w:author="Chris Rowe" w:date="2023-06-21T10:27:00Z" w:initials="CR">
    <w:p w14:paraId="6B385016" w14:textId="77777777" w:rsidR="00D42AA7" w:rsidRDefault="00D42AA7" w:rsidP="00D42AA7">
      <w:pPr>
        <w:pStyle w:val="CommentText"/>
      </w:pPr>
      <w:r>
        <w:rPr>
          <w:rStyle w:val="CommentReference"/>
        </w:rPr>
        <w:annotationRef/>
      </w:r>
      <w:r>
        <w:t>The 2022 figure looks too low</w:t>
      </w:r>
    </w:p>
  </w:comment>
  <w:comment w:id="162" w:author="Chris Rowe" w:date="2023-06-21T10:28:00Z" w:initials="CR">
    <w:p w14:paraId="52733D83" w14:textId="77777777" w:rsidR="00D42AA7" w:rsidRDefault="00D42AA7" w:rsidP="00D42AA7">
      <w:pPr>
        <w:pStyle w:val="CommentText"/>
      </w:pPr>
      <w:r>
        <w:rPr>
          <w:rStyle w:val="CommentReference"/>
        </w:rPr>
        <w:annotationRef/>
      </w:r>
      <w:r>
        <w:t>This graph is intended for an executive summary - I suggest removing</w:t>
      </w:r>
    </w:p>
  </w:comment>
  <w:comment w:id="190" w:author="Chris Rowe" w:date="2023-06-21T10:33:00Z" w:initials="CR">
    <w:p w14:paraId="39F46E7E" w14:textId="77777777" w:rsidR="00D42AA7" w:rsidRDefault="00D42AA7" w:rsidP="00D42AA7">
      <w:pPr>
        <w:pStyle w:val="CommentText"/>
      </w:pPr>
      <w:r>
        <w:rPr>
          <w:rStyle w:val="CommentReference"/>
        </w:rPr>
        <w:annotationRef/>
      </w:r>
      <w:r>
        <w:t xml:space="preserve">I think it is worth adjusting upwards the FX rate to 750 from 2024 onwards based on the merging of FX windows and associated devaluation. Also, I would suggest adopting the IMF forecasts for Real GDP Growth and Inflation for 2023 (3.2% and 20.1% respectively).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A2509E" w15:done="1"/>
  <w15:commentEx w15:paraId="5D7B09DD" w15:done="1"/>
  <w15:commentEx w15:paraId="4C8F9841" w15:done="0"/>
  <w15:commentEx w15:paraId="3F7A50DA" w15:done="0"/>
  <w15:commentEx w15:paraId="6B731C4C" w15:done="0"/>
  <w15:commentEx w15:paraId="7B6550BE" w15:done="0"/>
  <w15:commentEx w15:paraId="75075619" w15:done="0"/>
  <w15:commentEx w15:paraId="6B385016" w15:done="0"/>
  <w15:commentEx w15:paraId="52733D83" w15:done="0"/>
  <w15:commentEx w15:paraId="39F46E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3D4AB4" w16cex:dateUtc="2023-06-21T09:08:00Z"/>
  <w16cex:commentExtensible w16cex:durableId="288493E2" w16cex:dateUtc="2023-08-05T20:55:00Z"/>
  <w16cex:commentExtensible w16cex:durableId="283D4E2D" w16cex:dateUtc="2023-06-21T09:23:00Z"/>
  <w16cex:commentExtensible w16cex:durableId="283D4E9B" w16cex:dateUtc="2023-06-21T09:25:00Z"/>
  <w16cex:commentExtensible w16cex:durableId="283D4EB6" w16cex:dateUtc="2023-06-21T09:25:00Z"/>
  <w16cex:commentExtensible w16cex:durableId="283D4F17" w16cex:dateUtc="2023-06-21T09:27:00Z"/>
  <w16cex:commentExtensible w16cex:durableId="284EB810" w16cex:dateUtc="2023-06-21T09:26:00Z"/>
  <w16cex:commentExtensible w16cex:durableId="283D4EF6" w16cex:dateUtc="2023-06-21T09:27:00Z"/>
  <w16cex:commentExtensible w16cex:durableId="283D4F3F" w16cex:dateUtc="2023-06-21T09:28:00Z"/>
  <w16cex:commentExtensible w16cex:durableId="283D5094" w16cex:dateUtc="2023-06-21T09: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A2509E" w16cid:durableId="283D4AB4"/>
  <w16cid:commentId w16cid:paraId="5D7B09DD" w16cid:durableId="288493E2"/>
  <w16cid:commentId w16cid:paraId="4C8F9841" w16cid:durableId="283D4E2D"/>
  <w16cid:commentId w16cid:paraId="3F7A50DA" w16cid:durableId="283D4E9B"/>
  <w16cid:commentId w16cid:paraId="6B731C4C" w16cid:durableId="283D4EB6"/>
  <w16cid:commentId w16cid:paraId="7B6550BE" w16cid:durableId="283D4F17"/>
  <w16cid:commentId w16cid:paraId="75075619" w16cid:durableId="284EB810"/>
  <w16cid:commentId w16cid:paraId="6B385016" w16cid:durableId="283D4EF6"/>
  <w16cid:commentId w16cid:paraId="52733D83" w16cid:durableId="283D4F3F"/>
  <w16cid:commentId w16cid:paraId="39F46E7E" w16cid:durableId="283D50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3290F" w14:textId="77777777" w:rsidR="00DE19CB" w:rsidRDefault="00DE19CB" w:rsidP="00C96874">
      <w:pPr>
        <w:spacing w:before="0" w:after="0"/>
      </w:pPr>
      <w:r>
        <w:separator/>
      </w:r>
    </w:p>
  </w:endnote>
  <w:endnote w:type="continuationSeparator" w:id="0">
    <w:p w14:paraId="11699D60" w14:textId="77777777" w:rsidR="00DE19CB" w:rsidRDefault="00DE19CB" w:rsidP="00C9687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CA47" w14:textId="5B0F6B42" w:rsidR="00D42AA7" w:rsidRDefault="00D42AA7" w:rsidP="004F57E5">
    <w:pPr>
      <w:pStyle w:val="Footer"/>
      <w:jc w:val="center"/>
    </w:pPr>
    <w:r>
      <w:rPr>
        <w:rStyle w:val="PageNumber"/>
      </w:rPr>
      <w:fldChar w:fldCharType="begin"/>
    </w:r>
    <w:r>
      <w:rPr>
        <w:rStyle w:val="PageNumber"/>
      </w:rPr>
      <w:instrText xml:space="preserve"> PAGE </w:instrText>
    </w:r>
    <w:r>
      <w:rPr>
        <w:rStyle w:val="PageNumber"/>
      </w:rPr>
      <w:fldChar w:fldCharType="separate"/>
    </w:r>
    <w:r w:rsidR="00B74D67">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D1D9" w14:textId="395A367C" w:rsidR="00D42AA7" w:rsidRDefault="00D42AA7" w:rsidP="004F57E5">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F640F2">
      <w:rPr>
        <w:rStyle w:val="PageNumber"/>
        <w:noProof/>
      </w:rPr>
      <w:t>39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9420A" w14:textId="77777777" w:rsidR="00DE19CB" w:rsidRDefault="00DE19CB" w:rsidP="00C96874">
      <w:pPr>
        <w:spacing w:before="0" w:after="0"/>
      </w:pPr>
      <w:r>
        <w:separator/>
      </w:r>
    </w:p>
  </w:footnote>
  <w:footnote w:type="continuationSeparator" w:id="0">
    <w:p w14:paraId="43B9C39C" w14:textId="77777777" w:rsidR="00DE19CB" w:rsidRDefault="00DE19CB" w:rsidP="00C9687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CCA3" w14:textId="36A8ED3F" w:rsidR="00D42AA7" w:rsidRDefault="00000000">
    <w:pPr>
      <w:pStyle w:val="Header"/>
    </w:pPr>
    <w:r>
      <w:rPr>
        <w:noProof/>
      </w:rPr>
      <w:pict w14:anchorId="633D02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30079" o:spid="_x0000_s1033" type="#_x0000_t136" style="position:absolute;margin-left:0;margin-top:0;width:231.3pt;height:92.5pt;rotation:315;z-index:-251662848;mso-position-horizontal:center;mso-position-horizontal-relative:margin;mso-position-vertical:center;mso-position-vertical-relative:margin" o:allowincell="f" fillcolor="silver" stroked="f">
          <v:fill opacity=".5"/>
          <v:textpath style="font-family:&quot;Tahom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AD11" w14:textId="0F9FECD0" w:rsidR="00D42AA7" w:rsidRDefault="00000000">
    <w:pPr>
      <w:pStyle w:val="Header"/>
    </w:pPr>
    <w:r>
      <w:rPr>
        <w:noProof/>
      </w:rPr>
      <w:pict w14:anchorId="59904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30080" o:spid="_x0000_s1032" type="#_x0000_t136" style="position:absolute;margin-left:0;margin-top:0;width:231.3pt;height:92.5pt;rotation:315;z-index:-251661824;mso-position-horizontal:center;mso-position-horizontal-relative:margin;mso-position-vertical:center;mso-position-vertical-relative:margin" o:allowincell="f" fillcolor="silver" stroked="f">
          <v:fill opacity=".5"/>
          <v:textpath style="font-family:&quot;Tahom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3577E" w14:textId="74148BB5" w:rsidR="00D42AA7" w:rsidRDefault="00000000">
    <w:pPr>
      <w:pStyle w:val="Header"/>
    </w:pPr>
    <w:r>
      <w:rPr>
        <w:noProof/>
      </w:rPr>
      <w:pict w14:anchorId="374BDA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30078" o:spid="_x0000_s1031" type="#_x0000_t136" style="position:absolute;margin-left:0;margin-top:0;width:231.3pt;height:92.5pt;rotation:315;z-index:-251654656;mso-position-horizontal:center;mso-position-horizontal-relative:margin;mso-position-vertical:center;mso-position-vertical-relative:margin" o:allowincell="f" fillcolor="silver" stroked="f">
          <v:fill opacity=".5"/>
          <v:textpath style="font-family:&quot;Tahom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6A2A" w14:textId="7174EBCE" w:rsidR="00D42AA7" w:rsidRDefault="00000000">
    <w:pPr>
      <w:pStyle w:val="Header"/>
    </w:pPr>
    <w:r>
      <w:rPr>
        <w:noProof/>
      </w:rPr>
      <w:pict w14:anchorId="11DD4A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30082" o:spid="_x0000_s1030" type="#_x0000_t136" style="position:absolute;margin-left:0;margin-top:0;width:231.3pt;height:92.5pt;rotation:315;z-index:-251660800;mso-position-horizontal:center;mso-position-horizontal-relative:margin;mso-position-vertical:center;mso-position-vertical-relative:margin" o:allowincell="f" fillcolor="silver" stroked="f">
          <v:fill opacity=".5"/>
          <v:textpath style="font-family:&quot;Tahom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F856" w14:textId="5159E6FE" w:rsidR="00D42AA7" w:rsidRDefault="00000000" w:rsidP="004F57E5">
    <w:pPr>
      <w:pStyle w:val="Header"/>
      <w:jc w:val="right"/>
    </w:pPr>
    <w:r>
      <w:rPr>
        <w:noProof/>
      </w:rPr>
      <w:pict w14:anchorId="40936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30083" o:spid="_x0000_s1029" type="#_x0000_t136" style="position:absolute;left:0;text-align:left;margin-left:0;margin-top:0;width:231.3pt;height:92.5pt;rotation:315;z-index:-251659776;mso-position-horizontal:center;mso-position-horizontal-relative:margin;mso-position-vertical:center;mso-position-vertical-relative:margin" o:allowincell="f" fillcolor="silver" stroked="f">
          <v:fill opacity=".5"/>
          <v:textpath style="font-family:&quot;Tahoma&quot;;font-size:1pt" string="DRAFT"/>
          <w10:wrap anchorx="margin" anchory="margin"/>
        </v:shape>
      </w:pict>
    </w:r>
    <w:r w:rsidR="00D42AA7">
      <w:t>MTEF 2024-2026 - Kaduna State Government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40D3" w14:textId="685AC200" w:rsidR="00D42AA7" w:rsidRDefault="00000000">
    <w:pPr>
      <w:pStyle w:val="Header"/>
    </w:pPr>
    <w:r>
      <w:rPr>
        <w:noProof/>
      </w:rPr>
      <w:pict w14:anchorId="6500BC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30081" o:spid="_x0000_s1028" type="#_x0000_t136" style="position:absolute;margin-left:0;margin-top:0;width:231.3pt;height:92.5pt;rotation:315;z-index:-251658752;mso-position-horizontal:center;mso-position-horizontal-relative:margin;mso-position-vertical:center;mso-position-vertical-relative:margin" o:allowincell="f" fillcolor="silver" stroked="f">
          <v:fill opacity=".5"/>
          <v:textpath style="font-family:&quot;Tahom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D5174" w14:textId="6EBEEBA3" w:rsidR="00D42AA7" w:rsidRDefault="00000000">
    <w:pPr>
      <w:pStyle w:val="Header"/>
    </w:pPr>
    <w:r>
      <w:rPr>
        <w:noProof/>
      </w:rPr>
      <w:pict w14:anchorId="544B7B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30085" o:spid="_x0000_s1027" type="#_x0000_t136" style="position:absolute;margin-left:0;margin-top:0;width:231.3pt;height:92.5pt;rotation:315;z-index:-251657728;mso-position-horizontal:center;mso-position-horizontal-relative:margin;mso-position-vertical:center;mso-position-vertical-relative:margin" o:allowincell="f" fillcolor="silver" stroked="f">
          <v:fill opacity=".5"/>
          <v:textpath style="font-family:&quot;Tahom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3ED2" w14:textId="46C270FA" w:rsidR="00D42AA7" w:rsidRDefault="00000000" w:rsidP="004F57E5">
    <w:pPr>
      <w:pStyle w:val="Header"/>
      <w:jc w:val="right"/>
    </w:pPr>
    <w:r>
      <w:rPr>
        <w:noProof/>
      </w:rPr>
      <w:pict w14:anchorId="7CB36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30086" o:spid="_x0000_s1026" type="#_x0000_t136" style="position:absolute;left:0;text-align:left;margin-left:0;margin-top:0;width:231.3pt;height:92.5pt;rotation:315;z-index:-251656704;mso-position-horizontal:center;mso-position-horizontal-relative:margin;mso-position-vertical:center;mso-position-vertical-relative:margin" o:allowincell="f" fillcolor="silver" stroked="f">
          <v:fill opacity=".5"/>
          <v:textpath style="font-family:&quot;Tahoma&quot;;font-size:1pt" string="DRAFT"/>
          <w10:wrap anchorx="margin" anchory="margin"/>
        </v:shape>
      </w:pict>
    </w:r>
    <w:r w:rsidR="00D42AA7">
      <w:t>Kaduna State MTEF 2024-2026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F748" w14:textId="7C7A1F8B" w:rsidR="00D42AA7" w:rsidRDefault="00000000">
    <w:pPr>
      <w:pStyle w:val="Header"/>
    </w:pPr>
    <w:r>
      <w:rPr>
        <w:noProof/>
      </w:rPr>
      <w:pict w14:anchorId="46A67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30084" o:spid="_x0000_s1025" type="#_x0000_t136" style="position:absolute;margin-left:0;margin-top:0;width:231.3pt;height:92.5pt;rotation:315;z-index:-251655680;mso-position-horizontal:center;mso-position-horizontal-relative:margin;mso-position-vertical:center;mso-position-vertical-relative:margin" o:allowincell="f" fillcolor="silver" stroked="f">
          <v:fill opacity=".5"/>
          <v:textpath style="font-family:&quot;Tahom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B7F6F"/>
    <w:multiLevelType w:val="multilevel"/>
    <w:tmpl w:val="896455DA"/>
    <w:lvl w:ilvl="0">
      <w:start w:val="1"/>
      <w:numFmt w:val="decimal"/>
      <w:lvlText w:val="%1."/>
      <w:lvlJc w:val="left"/>
      <w:pPr>
        <w:ind w:left="360" w:hanging="360"/>
      </w:pPr>
      <w:rPr>
        <w:rFonts w:ascii="Arial Narrow" w:hAnsi="Arial Narrow" w:hint="default"/>
        <w:b/>
        <w:i w:val="0"/>
        <w:color w:val="44546A" w:themeColor="text2"/>
        <w:sz w:val="28"/>
      </w:rPr>
    </w:lvl>
    <w:lvl w:ilvl="1">
      <w:start w:val="1"/>
      <w:numFmt w:val="decimal"/>
      <w:lvlText w:val="%1.%2"/>
      <w:lvlJc w:val="left"/>
      <w:pPr>
        <w:ind w:left="720" w:hanging="360"/>
      </w:pPr>
      <w:rPr>
        <w:rFonts w:ascii="Arial Narrow" w:hAnsi="Arial Narrow" w:hint="default"/>
        <w:b/>
        <w:i w:val="0"/>
        <w:color w:val="4472C4" w:themeColor="accent1"/>
        <w:sz w:val="24"/>
      </w:rPr>
    </w:lvl>
    <w:lvl w:ilvl="2">
      <w:start w:val="1"/>
      <w:numFmt w:val="upperLetter"/>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4F7779E"/>
    <w:multiLevelType w:val="hybridMultilevel"/>
    <w:tmpl w:val="B5E6B796"/>
    <w:lvl w:ilvl="0" w:tplc="2670EF56">
      <w:start w:val="1"/>
      <w:numFmt w:val="lowerRoman"/>
      <w:pStyle w:val="IndentedNumber"/>
      <w:lvlText w:val="%1."/>
      <w:lvlJc w:val="left"/>
      <w:pPr>
        <w:tabs>
          <w:tab w:val="num" w:pos="1134"/>
        </w:tabs>
        <w:ind w:left="1134" w:hanging="454"/>
      </w:pPr>
      <w:rPr>
        <w:rFonts w:ascii="Calibri" w:hAnsi="Calibri"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733372D"/>
    <w:multiLevelType w:val="hybridMultilevel"/>
    <w:tmpl w:val="EE140E88"/>
    <w:lvl w:ilvl="0" w:tplc="B7862BC0">
      <w:start w:val="115"/>
      <w:numFmt w:val="decimal"/>
      <w:lvlText w:val="%1."/>
      <w:lvlJc w:val="left"/>
      <w:pPr>
        <w:ind w:left="1108" w:hanging="708"/>
      </w:pPr>
      <w:rPr>
        <w:rFonts w:ascii="Tahoma" w:eastAsia="Tahoma" w:hAnsi="Tahoma" w:cs="Tahoma" w:hint="default"/>
        <w:spacing w:val="-1"/>
        <w:w w:val="99"/>
        <w:sz w:val="20"/>
        <w:szCs w:val="20"/>
        <w:lang w:val="en-GB" w:eastAsia="en-GB" w:bidi="en-GB"/>
      </w:rPr>
    </w:lvl>
    <w:lvl w:ilvl="1" w:tplc="EEB2B1D0">
      <w:start w:val="1"/>
      <w:numFmt w:val="upperRoman"/>
      <w:lvlText w:val="%2."/>
      <w:lvlJc w:val="left"/>
      <w:pPr>
        <w:ind w:left="1120" w:hanging="360"/>
      </w:pPr>
      <w:rPr>
        <w:rFonts w:ascii="Arial" w:eastAsia="Arial" w:hAnsi="Arial" w:cs="Arial" w:hint="default"/>
        <w:b/>
        <w:bCs/>
        <w:spacing w:val="-1"/>
        <w:w w:val="99"/>
        <w:sz w:val="20"/>
        <w:szCs w:val="20"/>
        <w:lang w:val="en-GB" w:eastAsia="en-GB" w:bidi="en-GB"/>
      </w:rPr>
    </w:lvl>
    <w:lvl w:ilvl="2" w:tplc="200AA5BA">
      <w:numFmt w:val="bullet"/>
      <w:lvlText w:val=""/>
      <w:lvlJc w:val="left"/>
      <w:pPr>
        <w:ind w:left="1840" w:hanging="360"/>
      </w:pPr>
      <w:rPr>
        <w:rFonts w:ascii="Symbol" w:eastAsia="Symbol" w:hAnsi="Symbol" w:cs="Symbol" w:hint="default"/>
        <w:w w:val="99"/>
        <w:sz w:val="20"/>
        <w:szCs w:val="20"/>
        <w:lang w:val="en-GB" w:eastAsia="en-GB" w:bidi="en-GB"/>
      </w:rPr>
    </w:lvl>
    <w:lvl w:ilvl="3" w:tplc="6060B2CE">
      <w:numFmt w:val="bullet"/>
      <w:lvlText w:val="•"/>
      <w:lvlJc w:val="left"/>
      <w:pPr>
        <w:ind w:left="2824" w:hanging="360"/>
      </w:pPr>
      <w:rPr>
        <w:rFonts w:hint="default"/>
        <w:lang w:val="en-GB" w:eastAsia="en-GB" w:bidi="en-GB"/>
      </w:rPr>
    </w:lvl>
    <w:lvl w:ilvl="4" w:tplc="19C01AA4">
      <w:numFmt w:val="bullet"/>
      <w:lvlText w:val="•"/>
      <w:lvlJc w:val="left"/>
      <w:pPr>
        <w:ind w:left="3809" w:hanging="360"/>
      </w:pPr>
      <w:rPr>
        <w:rFonts w:hint="default"/>
        <w:lang w:val="en-GB" w:eastAsia="en-GB" w:bidi="en-GB"/>
      </w:rPr>
    </w:lvl>
    <w:lvl w:ilvl="5" w:tplc="827C7624">
      <w:numFmt w:val="bullet"/>
      <w:lvlText w:val="•"/>
      <w:lvlJc w:val="left"/>
      <w:pPr>
        <w:ind w:left="4794" w:hanging="360"/>
      </w:pPr>
      <w:rPr>
        <w:rFonts w:hint="default"/>
        <w:lang w:val="en-GB" w:eastAsia="en-GB" w:bidi="en-GB"/>
      </w:rPr>
    </w:lvl>
    <w:lvl w:ilvl="6" w:tplc="A928004C">
      <w:numFmt w:val="bullet"/>
      <w:lvlText w:val="•"/>
      <w:lvlJc w:val="left"/>
      <w:pPr>
        <w:ind w:left="5779" w:hanging="360"/>
      </w:pPr>
      <w:rPr>
        <w:rFonts w:hint="default"/>
        <w:lang w:val="en-GB" w:eastAsia="en-GB" w:bidi="en-GB"/>
      </w:rPr>
    </w:lvl>
    <w:lvl w:ilvl="7" w:tplc="E3D28686">
      <w:numFmt w:val="bullet"/>
      <w:lvlText w:val="•"/>
      <w:lvlJc w:val="left"/>
      <w:pPr>
        <w:ind w:left="6764" w:hanging="360"/>
      </w:pPr>
      <w:rPr>
        <w:rFonts w:hint="default"/>
        <w:lang w:val="en-GB" w:eastAsia="en-GB" w:bidi="en-GB"/>
      </w:rPr>
    </w:lvl>
    <w:lvl w:ilvl="8" w:tplc="631E13BC">
      <w:numFmt w:val="bullet"/>
      <w:lvlText w:val="•"/>
      <w:lvlJc w:val="left"/>
      <w:pPr>
        <w:ind w:left="7749" w:hanging="360"/>
      </w:pPr>
      <w:rPr>
        <w:rFonts w:hint="default"/>
        <w:lang w:val="en-GB" w:eastAsia="en-GB" w:bidi="en-GB"/>
      </w:rPr>
    </w:lvl>
  </w:abstractNum>
  <w:abstractNum w:abstractNumId="3" w15:restartNumberingAfterBreak="0">
    <w:nsid w:val="1B0952EC"/>
    <w:multiLevelType w:val="hybridMultilevel"/>
    <w:tmpl w:val="CCC4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987E47"/>
    <w:multiLevelType w:val="hybridMultilevel"/>
    <w:tmpl w:val="049E69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6970EE"/>
    <w:multiLevelType w:val="hybridMultilevel"/>
    <w:tmpl w:val="601EF0A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35E83E03"/>
    <w:multiLevelType w:val="hybridMultilevel"/>
    <w:tmpl w:val="6AC46B42"/>
    <w:lvl w:ilvl="0" w:tplc="47C0DDAA">
      <w:start w:val="1"/>
      <w:numFmt w:val="decimal"/>
      <w:lvlText w:val="%1."/>
      <w:lvlJc w:val="left"/>
      <w:pPr>
        <w:tabs>
          <w:tab w:val="num" w:pos="680"/>
        </w:tabs>
        <w:ind w:left="680" w:hanging="68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2167B49"/>
    <w:multiLevelType w:val="multilevel"/>
    <w:tmpl w:val="E8AE19A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 w15:restartNumberingAfterBreak="0">
    <w:nsid w:val="45A3378C"/>
    <w:multiLevelType w:val="hybridMultilevel"/>
    <w:tmpl w:val="6752315C"/>
    <w:lvl w:ilvl="0" w:tplc="C7324438">
      <w:start w:val="1"/>
      <w:numFmt w:val="decimal"/>
      <w:pStyle w:val="KeyPoint"/>
      <w:lvlText w:val="Key Point %1."/>
      <w:lvlJc w:val="left"/>
      <w:pPr>
        <w:tabs>
          <w:tab w:val="num" w:pos="567"/>
        </w:tabs>
        <w:ind w:left="567" w:firstLine="0"/>
      </w:pPr>
      <w:rPr>
        <w:rFonts w:ascii="Tahoma" w:hAnsi="Tahoma" w:hint="default"/>
        <w:b/>
        <w:i/>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64F1236"/>
    <w:multiLevelType w:val="hybridMultilevel"/>
    <w:tmpl w:val="3A6A5DCE"/>
    <w:lvl w:ilvl="0" w:tplc="9318A692">
      <w:start w:val="1"/>
      <w:numFmt w:val="bullet"/>
      <w:lvlText w:val=""/>
      <w:lvlJc w:val="left"/>
      <w:pPr>
        <w:ind w:left="720" w:hanging="360"/>
      </w:pPr>
      <w:rPr>
        <w:rFonts w:ascii="Symbol" w:hAnsi="Symbol" w:hint="default"/>
        <w:color w:val="4472C4"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45D34E7"/>
    <w:multiLevelType w:val="hybridMultilevel"/>
    <w:tmpl w:val="FB7A087E"/>
    <w:lvl w:ilvl="0" w:tplc="29D4190A">
      <w:start w:val="1"/>
      <w:numFmt w:val="bullet"/>
      <w:pStyle w:val="Bullet"/>
      <w:lvlText w:val=""/>
      <w:lvlJc w:val="left"/>
      <w:pPr>
        <w:tabs>
          <w:tab w:val="num" w:pos="1134"/>
        </w:tabs>
        <w:ind w:left="1134" w:hanging="567"/>
      </w:pPr>
      <w:rPr>
        <w:rFonts w:ascii="Symbol" w:hAnsi="Symbol" w:hint="default"/>
        <w:color w:val="00B0F0"/>
        <w:sz w:val="2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7D26B22"/>
    <w:multiLevelType w:val="hybridMultilevel"/>
    <w:tmpl w:val="5F688834"/>
    <w:lvl w:ilvl="0" w:tplc="71CE5F64">
      <w:start w:val="1"/>
      <w:numFmt w:val="decimal"/>
      <w:pStyle w:val="NumberedPara"/>
      <w:lvlText w:val="%1."/>
      <w:lvlJc w:val="left"/>
      <w:pPr>
        <w:tabs>
          <w:tab w:val="num" w:pos="1135"/>
        </w:tabs>
        <w:ind w:left="1135" w:hanging="567"/>
      </w:pPr>
      <w:rPr>
        <w:rFonts w:ascii="Tahoma" w:hAnsi="Tahoma" w:hint="default"/>
        <w:b w:val="0"/>
        <w:sz w:val="20"/>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2" w15:restartNumberingAfterBreak="0">
    <w:nsid w:val="59816D3F"/>
    <w:multiLevelType w:val="hybridMultilevel"/>
    <w:tmpl w:val="FF3AE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5C3E9F"/>
    <w:multiLevelType w:val="multilevel"/>
    <w:tmpl w:val="05D64A42"/>
    <w:lvl w:ilvl="0">
      <w:start w:val="1"/>
      <w:numFmt w:val="decimal"/>
      <w:pStyle w:val="Heading1"/>
      <w:lvlText w:val="Section %1"/>
      <w:lvlJc w:val="left"/>
      <w:pPr>
        <w:tabs>
          <w:tab w:val="num" w:pos="2268"/>
        </w:tabs>
        <w:ind w:left="2268" w:hanging="2268"/>
      </w:pPr>
      <w:rPr>
        <w:rFonts w:ascii="Tahoma" w:hAnsi="Tahoma" w:cs="Times New Roman" w:hint="default"/>
        <w:b/>
        <w:i w:val="0"/>
        <w:sz w:val="40"/>
      </w:rPr>
    </w:lvl>
    <w:lvl w:ilvl="1">
      <w:start w:val="1"/>
      <w:numFmt w:val="upperLetter"/>
      <w:pStyle w:val="Heading2"/>
      <w:lvlText w:val="%1.%2"/>
      <w:lvlJc w:val="left"/>
      <w:pPr>
        <w:tabs>
          <w:tab w:val="num" w:pos="1134"/>
        </w:tabs>
        <w:ind w:left="1134" w:hanging="1134"/>
      </w:pPr>
      <w:rPr>
        <w:rFonts w:ascii="Tahoma" w:hAnsi="Tahoma" w:cs="Times New Roman" w:hint="default"/>
        <w:b/>
        <w:i w:val="0"/>
        <w:sz w:val="32"/>
      </w:rPr>
    </w:lvl>
    <w:lvl w:ilvl="2">
      <w:start w:val="1"/>
      <w:numFmt w:val="decimal"/>
      <w:pStyle w:val="Heading3"/>
      <w:lvlText w:val="%1.%2.%3"/>
      <w:lvlJc w:val="left"/>
      <w:pPr>
        <w:tabs>
          <w:tab w:val="num" w:pos="1134"/>
        </w:tabs>
        <w:ind w:left="1134" w:hanging="1134"/>
      </w:pPr>
      <w:rPr>
        <w:rFonts w:ascii="Tahoma" w:hAnsi="Tahoma" w:cs="Times New Roman" w:hint="default"/>
        <w:b/>
        <w:i w:val="0"/>
        <w:sz w:val="24"/>
      </w:rPr>
    </w:lvl>
    <w:lvl w:ilvl="3">
      <w:start w:val="1"/>
      <w:numFmt w:val="none"/>
      <w:lvlText w:val=""/>
      <w:lvlJc w:val="left"/>
      <w:pPr>
        <w:tabs>
          <w:tab w:val="num" w:pos="0"/>
        </w:tabs>
        <w:ind w:left="0" w:firstLine="0"/>
      </w:pPr>
      <w:rPr>
        <w:rFonts w:cs="Times New Roman" w:hint="default"/>
        <w:b/>
        <w:i w:val="0"/>
        <w:sz w:val="22"/>
      </w:rPr>
    </w:lvl>
    <w:lvl w:ilvl="4">
      <w:start w:val="1"/>
      <w:numFmt w:val="decimal"/>
      <w:lvlText w:val="%1.%2.%3.%4.%5"/>
      <w:lvlJc w:val="left"/>
      <w:pPr>
        <w:tabs>
          <w:tab w:val="num" w:pos="1989"/>
        </w:tabs>
        <w:ind w:left="1989" w:hanging="1008"/>
      </w:pPr>
      <w:rPr>
        <w:rFonts w:cs="Times New Roman" w:hint="default"/>
      </w:rPr>
    </w:lvl>
    <w:lvl w:ilvl="5">
      <w:start w:val="1"/>
      <w:numFmt w:val="decimal"/>
      <w:lvlText w:val="%1.%2.%3.%4.%5.%6"/>
      <w:lvlJc w:val="left"/>
      <w:pPr>
        <w:tabs>
          <w:tab w:val="num" w:pos="2133"/>
        </w:tabs>
        <w:ind w:left="2133" w:hanging="1152"/>
      </w:pPr>
      <w:rPr>
        <w:rFonts w:cs="Times New Roman" w:hint="default"/>
      </w:rPr>
    </w:lvl>
    <w:lvl w:ilvl="6">
      <w:start w:val="1"/>
      <w:numFmt w:val="decimal"/>
      <w:lvlText w:val="%1.%2.%3.%4.%5.%6.%7"/>
      <w:lvlJc w:val="left"/>
      <w:pPr>
        <w:tabs>
          <w:tab w:val="num" w:pos="2277"/>
        </w:tabs>
        <w:ind w:left="2277" w:hanging="1296"/>
      </w:pPr>
      <w:rPr>
        <w:rFonts w:cs="Times New Roman" w:hint="default"/>
      </w:rPr>
    </w:lvl>
    <w:lvl w:ilvl="7">
      <w:start w:val="1"/>
      <w:numFmt w:val="decimal"/>
      <w:lvlText w:val="%1.%2.%3.%4.%5.%6.%7.%8"/>
      <w:lvlJc w:val="left"/>
      <w:pPr>
        <w:tabs>
          <w:tab w:val="num" w:pos="2115"/>
        </w:tabs>
        <w:ind w:left="2115" w:hanging="567"/>
      </w:pPr>
      <w:rPr>
        <w:rFonts w:cs="Times New Roman" w:hint="default"/>
      </w:rPr>
    </w:lvl>
    <w:lvl w:ilvl="8">
      <w:start w:val="1"/>
      <w:numFmt w:val="decimal"/>
      <w:lvlText w:val="%1.%2.%3.%4.%5.%6.%7.%8.%9"/>
      <w:lvlJc w:val="left"/>
      <w:pPr>
        <w:tabs>
          <w:tab w:val="num" w:pos="2565"/>
        </w:tabs>
        <w:ind w:left="2565" w:hanging="1584"/>
      </w:pPr>
      <w:rPr>
        <w:rFonts w:cs="Times New Roman" w:hint="default"/>
      </w:rPr>
    </w:lvl>
  </w:abstractNum>
  <w:abstractNum w:abstractNumId="14" w15:restartNumberingAfterBreak="0">
    <w:nsid w:val="60445D3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675024E6"/>
    <w:multiLevelType w:val="hybridMultilevel"/>
    <w:tmpl w:val="F734288C"/>
    <w:lvl w:ilvl="0" w:tplc="EB70D45A">
      <w:start w:val="1"/>
      <w:numFmt w:val="lowerRoman"/>
      <w:pStyle w:val="NumberedBullet"/>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9C0E84"/>
    <w:multiLevelType w:val="hybridMultilevel"/>
    <w:tmpl w:val="06E82FC0"/>
    <w:lvl w:ilvl="0" w:tplc="485EC72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D12A89"/>
    <w:multiLevelType w:val="hybridMultilevel"/>
    <w:tmpl w:val="D5F4B28E"/>
    <w:lvl w:ilvl="0" w:tplc="94ECBFDC">
      <w:start w:val="1"/>
      <w:numFmt w:val="bullet"/>
      <w:pStyle w:val="BulletDouble"/>
      <w:lvlText w:val=""/>
      <w:lvlJc w:val="left"/>
      <w:pPr>
        <w:tabs>
          <w:tab w:val="num" w:pos="1701"/>
        </w:tabs>
        <w:ind w:left="1701"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7B0D69"/>
    <w:multiLevelType w:val="singleLevel"/>
    <w:tmpl w:val="8B2EC4BE"/>
    <w:lvl w:ilvl="0">
      <w:start w:val="1"/>
      <w:numFmt w:val="decimal"/>
      <w:pStyle w:val="Recommendation"/>
      <w:lvlText w:val="Recommendation %1:"/>
      <w:lvlJc w:val="left"/>
      <w:pPr>
        <w:tabs>
          <w:tab w:val="num" w:pos="3969"/>
        </w:tabs>
        <w:ind w:left="0" w:firstLine="0"/>
      </w:pPr>
      <w:rPr>
        <w:rFonts w:ascii="Tahoma" w:hAnsi="Tahoma" w:cs="Times New Roman" w:hint="default"/>
        <w:sz w:val="20"/>
      </w:rPr>
    </w:lvl>
  </w:abstractNum>
  <w:num w:numId="1" w16cid:durableId="1795442302">
    <w:abstractNumId w:val="13"/>
  </w:num>
  <w:num w:numId="2" w16cid:durableId="118914861">
    <w:abstractNumId w:val="10"/>
  </w:num>
  <w:num w:numId="3" w16cid:durableId="1092818705">
    <w:abstractNumId w:val="11"/>
  </w:num>
  <w:num w:numId="4" w16cid:durableId="1532961813">
    <w:abstractNumId w:val="15"/>
  </w:num>
  <w:num w:numId="5" w16cid:durableId="734277543">
    <w:abstractNumId w:val="17"/>
  </w:num>
  <w:num w:numId="6" w16cid:durableId="32581394">
    <w:abstractNumId w:val="8"/>
  </w:num>
  <w:num w:numId="7" w16cid:durableId="645205767">
    <w:abstractNumId w:val="18"/>
  </w:num>
  <w:num w:numId="8" w16cid:durableId="896086556">
    <w:abstractNumId w:val="6"/>
  </w:num>
  <w:num w:numId="9" w16cid:durableId="392895612">
    <w:abstractNumId w:val="1"/>
  </w:num>
  <w:num w:numId="10" w16cid:durableId="981427282">
    <w:abstractNumId w:val="15"/>
    <w:lvlOverride w:ilvl="0">
      <w:startOverride w:val="1"/>
    </w:lvlOverride>
  </w:num>
  <w:num w:numId="11" w16cid:durableId="1307667093">
    <w:abstractNumId w:val="14"/>
  </w:num>
  <w:num w:numId="12" w16cid:durableId="437410921">
    <w:abstractNumId w:val="2"/>
  </w:num>
  <w:num w:numId="13" w16cid:durableId="1705669850">
    <w:abstractNumId w:val="5"/>
  </w:num>
  <w:num w:numId="14" w16cid:durableId="1084692865">
    <w:abstractNumId w:val="16"/>
  </w:num>
  <w:num w:numId="15" w16cid:durableId="1935017479">
    <w:abstractNumId w:val="4"/>
  </w:num>
  <w:num w:numId="16" w16cid:durableId="1675955964">
    <w:abstractNumId w:val="3"/>
  </w:num>
  <w:num w:numId="17" w16cid:durableId="1652708896">
    <w:abstractNumId w:val="12"/>
  </w:num>
  <w:num w:numId="18" w16cid:durableId="519514576">
    <w:abstractNumId w:val="7"/>
  </w:num>
  <w:num w:numId="19" w16cid:durableId="2058894791">
    <w:abstractNumId w:val="0"/>
  </w:num>
  <w:num w:numId="20" w16cid:durableId="39682682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 Rowe">
    <w15:presenceInfo w15:providerId="Windows Live" w15:userId="7b3594084f7a0176"/>
  </w15:person>
  <w15:person w15:author="Bashir Ladan">
    <w15:presenceInfo w15:providerId="Windows Live" w15:userId="f6c182af54dfcf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OxNLYwszC2MDExNjVQ0lEKTi0uzszPAykwNKoFANV5MzstAAAA"/>
  </w:docVars>
  <w:rsids>
    <w:rsidRoot w:val="00C96874"/>
    <w:rsid w:val="00000FD9"/>
    <w:rsid w:val="00002387"/>
    <w:rsid w:val="00003BB2"/>
    <w:rsid w:val="0000629A"/>
    <w:rsid w:val="00006E46"/>
    <w:rsid w:val="0001764D"/>
    <w:rsid w:val="00021365"/>
    <w:rsid w:val="00021DFE"/>
    <w:rsid w:val="00022BDA"/>
    <w:rsid w:val="00025F61"/>
    <w:rsid w:val="00026C80"/>
    <w:rsid w:val="000343FE"/>
    <w:rsid w:val="0003693A"/>
    <w:rsid w:val="00040629"/>
    <w:rsid w:val="0004484E"/>
    <w:rsid w:val="00053673"/>
    <w:rsid w:val="00053746"/>
    <w:rsid w:val="000567BF"/>
    <w:rsid w:val="0008193C"/>
    <w:rsid w:val="00082AF4"/>
    <w:rsid w:val="00087426"/>
    <w:rsid w:val="000A7398"/>
    <w:rsid w:val="000B0CE7"/>
    <w:rsid w:val="000B187E"/>
    <w:rsid w:val="000B5652"/>
    <w:rsid w:val="000C0A7C"/>
    <w:rsid w:val="000C1B35"/>
    <w:rsid w:val="000C3925"/>
    <w:rsid w:val="000C47F0"/>
    <w:rsid w:val="000C66CB"/>
    <w:rsid w:val="000C7FD2"/>
    <w:rsid w:val="000E720E"/>
    <w:rsid w:val="000F067F"/>
    <w:rsid w:val="000F27EE"/>
    <w:rsid w:val="001034D2"/>
    <w:rsid w:val="001073ED"/>
    <w:rsid w:val="00116D2A"/>
    <w:rsid w:val="00124F7E"/>
    <w:rsid w:val="001300B3"/>
    <w:rsid w:val="001308B8"/>
    <w:rsid w:val="0013158F"/>
    <w:rsid w:val="00133FBF"/>
    <w:rsid w:val="00141EB5"/>
    <w:rsid w:val="00142DBE"/>
    <w:rsid w:val="0014556E"/>
    <w:rsid w:val="00146249"/>
    <w:rsid w:val="00146776"/>
    <w:rsid w:val="001479CC"/>
    <w:rsid w:val="00156B42"/>
    <w:rsid w:val="00157BC5"/>
    <w:rsid w:val="00160ECB"/>
    <w:rsid w:val="00170CD5"/>
    <w:rsid w:val="00176257"/>
    <w:rsid w:val="0018012F"/>
    <w:rsid w:val="0018663A"/>
    <w:rsid w:val="001904F6"/>
    <w:rsid w:val="0019164A"/>
    <w:rsid w:val="0019186A"/>
    <w:rsid w:val="00193D79"/>
    <w:rsid w:val="00195C76"/>
    <w:rsid w:val="001969E2"/>
    <w:rsid w:val="001A2FE4"/>
    <w:rsid w:val="001A5E6C"/>
    <w:rsid w:val="001B5EB8"/>
    <w:rsid w:val="001C373C"/>
    <w:rsid w:val="001C5367"/>
    <w:rsid w:val="001C6645"/>
    <w:rsid w:val="001C7195"/>
    <w:rsid w:val="001C7F73"/>
    <w:rsid w:val="001D36D1"/>
    <w:rsid w:val="001D5FB0"/>
    <w:rsid w:val="001D62E2"/>
    <w:rsid w:val="001D7FB2"/>
    <w:rsid w:val="001E20AF"/>
    <w:rsid w:val="001E483A"/>
    <w:rsid w:val="001F6EC7"/>
    <w:rsid w:val="002222C2"/>
    <w:rsid w:val="0022431D"/>
    <w:rsid w:val="002329E5"/>
    <w:rsid w:val="00236C38"/>
    <w:rsid w:val="00240673"/>
    <w:rsid w:val="00252FE9"/>
    <w:rsid w:val="00255DA6"/>
    <w:rsid w:val="00263983"/>
    <w:rsid w:val="00273D8A"/>
    <w:rsid w:val="002746B5"/>
    <w:rsid w:val="00281967"/>
    <w:rsid w:val="00285C95"/>
    <w:rsid w:val="00287A8B"/>
    <w:rsid w:val="00294413"/>
    <w:rsid w:val="0029667F"/>
    <w:rsid w:val="002A4888"/>
    <w:rsid w:val="002A6D9E"/>
    <w:rsid w:val="002B4D48"/>
    <w:rsid w:val="002B6D90"/>
    <w:rsid w:val="002B70EB"/>
    <w:rsid w:val="002C7569"/>
    <w:rsid w:val="002C7711"/>
    <w:rsid w:val="002C7949"/>
    <w:rsid w:val="002D25CF"/>
    <w:rsid w:val="002D4E01"/>
    <w:rsid w:val="002E5533"/>
    <w:rsid w:val="002F488E"/>
    <w:rsid w:val="002F4E72"/>
    <w:rsid w:val="00310E50"/>
    <w:rsid w:val="00315653"/>
    <w:rsid w:val="003171D2"/>
    <w:rsid w:val="0032567C"/>
    <w:rsid w:val="00326292"/>
    <w:rsid w:val="00326886"/>
    <w:rsid w:val="00327293"/>
    <w:rsid w:val="0033319E"/>
    <w:rsid w:val="00337304"/>
    <w:rsid w:val="0033742B"/>
    <w:rsid w:val="003410A1"/>
    <w:rsid w:val="00343F19"/>
    <w:rsid w:val="003600DC"/>
    <w:rsid w:val="00370224"/>
    <w:rsid w:val="00376C3E"/>
    <w:rsid w:val="003807F4"/>
    <w:rsid w:val="00387DB9"/>
    <w:rsid w:val="00393494"/>
    <w:rsid w:val="00393C49"/>
    <w:rsid w:val="00394F6D"/>
    <w:rsid w:val="00397592"/>
    <w:rsid w:val="003A24CD"/>
    <w:rsid w:val="003B58A4"/>
    <w:rsid w:val="003B7FCB"/>
    <w:rsid w:val="003E5CC1"/>
    <w:rsid w:val="003F3815"/>
    <w:rsid w:val="003F45D1"/>
    <w:rsid w:val="003F7D89"/>
    <w:rsid w:val="00402014"/>
    <w:rsid w:val="00402595"/>
    <w:rsid w:val="004032C0"/>
    <w:rsid w:val="004074D7"/>
    <w:rsid w:val="0041427E"/>
    <w:rsid w:val="00416079"/>
    <w:rsid w:val="004177BE"/>
    <w:rsid w:val="0041791D"/>
    <w:rsid w:val="004224BD"/>
    <w:rsid w:val="00422888"/>
    <w:rsid w:val="004243C4"/>
    <w:rsid w:val="00425232"/>
    <w:rsid w:val="004274DB"/>
    <w:rsid w:val="004317E7"/>
    <w:rsid w:val="00431884"/>
    <w:rsid w:val="004369AD"/>
    <w:rsid w:val="00451E34"/>
    <w:rsid w:val="00454D5C"/>
    <w:rsid w:val="004551E6"/>
    <w:rsid w:val="00462AB8"/>
    <w:rsid w:val="004663ED"/>
    <w:rsid w:val="00473385"/>
    <w:rsid w:val="00476842"/>
    <w:rsid w:val="00477479"/>
    <w:rsid w:val="004808EB"/>
    <w:rsid w:val="00480D95"/>
    <w:rsid w:val="00483B4B"/>
    <w:rsid w:val="00490E25"/>
    <w:rsid w:val="004910B5"/>
    <w:rsid w:val="004917DA"/>
    <w:rsid w:val="00493A7F"/>
    <w:rsid w:val="00495DB1"/>
    <w:rsid w:val="004A0E79"/>
    <w:rsid w:val="004A5977"/>
    <w:rsid w:val="004B0CA6"/>
    <w:rsid w:val="004C0AA4"/>
    <w:rsid w:val="004C6A68"/>
    <w:rsid w:val="004D0B40"/>
    <w:rsid w:val="004D185B"/>
    <w:rsid w:val="004D5ACA"/>
    <w:rsid w:val="004D5FF4"/>
    <w:rsid w:val="004E26D0"/>
    <w:rsid w:val="004E64BA"/>
    <w:rsid w:val="004F1490"/>
    <w:rsid w:val="004F2923"/>
    <w:rsid w:val="004F3525"/>
    <w:rsid w:val="004F3A06"/>
    <w:rsid w:val="004F57E5"/>
    <w:rsid w:val="004F5C2B"/>
    <w:rsid w:val="005006FF"/>
    <w:rsid w:val="005012DC"/>
    <w:rsid w:val="00510254"/>
    <w:rsid w:val="00510F39"/>
    <w:rsid w:val="00513492"/>
    <w:rsid w:val="005166D9"/>
    <w:rsid w:val="005171A3"/>
    <w:rsid w:val="00524809"/>
    <w:rsid w:val="005259DF"/>
    <w:rsid w:val="00525BAB"/>
    <w:rsid w:val="00527FBA"/>
    <w:rsid w:val="005366E8"/>
    <w:rsid w:val="005513B1"/>
    <w:rsid w:val="00551D14"/>
    <w:rsid w:val="00552A48"/>
    <w:rsid w:val="0055450E"/>
    <w:rsid w:val="00554A95"/>
    <w:rsid w:val="0055614B"/>
    <w:rsid w:val="005610AD"/>
    <w:rsid w:val="0056306C"/>
    <w:rsid w:val="00574C90"/>
    <w:rsid w:val="00575645"/>
    <w:rsid w:val="00577C40"/>
    <w:rsid w:val="00580044"/>
    <w:rsid w:val="00591C20"/>
    <w:rsid w:val="00595CD9"/>
    <w:rsid w:val="005A0A9E"/>
    <w:rsid w:val="005A7788"/>
    <w:rsid w:val="005B0E76"/>
    <w:rsid w:val="005B6136"/>
    <w:rsid w:val="005C05E7"/>
    <w:rsid w:val="005C55E8"/>
    <w:rsid w:val="005C7FF8"/>
    <w:rsid w:val="005D651F"/>
    <w:rsid w:val="005E0806"/>
    <w:rsid w:val="005E1385"/>
    <w:rsid w:val="005E7C45"/>
    <w:rsid w:val="005F4A2E"/>
    <w:rsid w:val="006015EF"/>
    <w:rsid w:val="00603048"/>
    <w:rsid w:val="00610EAE"/>
    <w:rsid w:val="00614626"/>
    <w:rsid w:val="00616C6A"/>
    <w:rsid w:val="00621673"/>
    <w:rsid w:val="006253ED"/>
    <w:rsid w:val="00640B22"/>
    <w:rsid w:val="006412D7"/>
    <w:rsid w:val="00644F35"/>
    <w:rsid w:val="006471E4"/>
    <w:rsid w:val="006478A3"/>
    <w:rsid w:val="00653210"/>
    <w:rsid w:val="006571F6"/>
    <w:rsid w:val="0066098B"/>
    <w:rsid w:val="00673630"/>
    <w:rsid w:val="00680BE3"/>
    <w:rsid w:val="00680FFD"/>
    <w:rsid w:val="006830FA"/>
    <w:rsid w:val="0069146F"/>
    <w:rsid w:val="006914D6"/>
    <w:rsid w:val="006A0147"/>
    <w:rsid w:val="006B32F7"/>
    <w:rsid w:val="006B4882"/>
    <w:rsid w:val="006C0DFC"/>
    <w:rsid w:val="006C6EF0"/>
    <w:rsid w:val="006D1175"/>
    <w:rsid w:val="006D56E0"/>
    <w:rsid w:val="006D6B54"/>
    <w:rsid w:val="006E68ED"/>
    <w:rsid w:val="006F581B"/>
    <w:rsid w:val="00710214"/>
    <w:rsid w:val="00717630"/>
    <w:rsid w:val="00723FD9"/>
    <w:rsid w:val="00726558"/>
    <w:rsid w:val="00727B66"/>
    <w:rsid w:val="00737AAB"/>
    <w:rsid w:val="0074448D"/>
    <w:rsid w:val="00744856"/>
    <w:rsid w:val="00755C21"/>
    <w:rsid w:val="00756E82"/>
    <w:rsid w:val="00763EB8"/>
    <w:rsid w:val="007676D8"/>
    <w:rsid w:val="007732C2"/>
    <w:rsid w:val="007744D9"/>
    <w:rsid w:val="00774B11"/>
    <w:rsid w:val="00775C45"/>
    <w:rsid w:val="0078123B"/>
    <w:rsid w:val="00782DBC"/>
    <w:rsid w:val="007908D5"/>
    <w:rsid w:val="0079648C"/>
    <w:rsid w:val="00797878"/>
    <w:rsid w:val="007A1B27"/>
    <w:rsid w:val="007A4929"/>
    <w:rsid w:val="007A5D00"/>
    <w:rsid w:val="007B2721"/>
    <w:rsid w:val="007B4A3A"/>
    <w:rsid w:val="007B6BF3"/>
    <w:rsid w:val="007C5E7E"/>
    <w:rsid w:val="007D3AC9"/>
    <w:rsid w:val="007E5B35"/>
    <w:rsid w:val="007F359B"/>
    <w:rsid w:val="0080263A"/>
    <w:rsid w:val="00807958"/>
    <w:rsid w:val="00810E6A"/>
    <w:rsid w:val="008212DB"/>
    <w:rsid w:val="0082365B"/>
    <w:rsid w:val="00825595"/>
    <w:rsid w:val="00830CF2"/>
    <w:rsid w:val="00832A34"/>
    <w:rsid w:val="00832D81"/>
    <w:rsid w:val="00837A58"/>
    <w:rsid w:val="00837B10"/>
    <w:rsid w:val="00846153"/>
    <w:rsid w:val="00846EE8"/>
    <w:rsid w:val="00856AF1"/>
    <w:rsid w:val="00860400"/>
    <w:rsid w:val="00861C41"/>
    <w:rsid w:val="00866D45"/>
    <w:rsid w:val="00870485"/>
    <w:rsid w:val="008705C1"/>
    <w:rsid w:val="0087502E"/>
    <w:rsid w:val="008750B1"/>
    <w:rsid w:val="00875FC9"/>
    <w:rsid w:val="0087609B"/>
    <w:rsid w:val="0088018F"/>
    <w:rsid w:val="00881BA9"/>
    <w:rsid w:val="00884364"/>
    <w:rsid w:val="008A411D"/>
    <w:rsid w:val="008B4B1C"/>
    <w:rsid w:val="008B743B"/>
    <w:rsid w:val="008B7F95"/>
    <w:rsid w:val="008C4B07"/>
    <w:rsid w:val="008E2390"/>
    <w:rsid w:val="008E49AB"/>
    <w:rsid w:val="008F0F4D"/>
    <w:rsid w:val="00904B46"/>
    <w:rsid w:val="00906781"/>
    <w:rsid w:val="009073A5"/>
    <w:rsid w:val="00907B5C"/>
    <w:rsid w:val="0091085C"/>
    <w:rsid w:val="00911A88"/>
    <w:rsid w:val="009200AD"/>
    <w:rsid w:val="00921FEE"/>
    <w:rsid w:val="00924D84"/>
    <w:rsid w:val="009272FD"/>
    <w:rsid w:val="009459AF"/>
    <w:rsid w:val="009661C0"/>
    <w:rsid w:val="0096708C"/>
    <w:rsid w:val="0097134C"/>
    <w:rsid w:val="009828EE"/>
    <w:rsid w:val="0098326C"/>
    <w:rsid w:val="009834EF"/>
    <w:rsid w:val="009875B9"/>
    <w:rsid w:val="009876F6"/>
    <w:rsid w:val="009B617E"/>
    <w:rsid w:val="009C151F"/>
    <w:rsid w:val="009D1E84"/>
    <w:rsid w:val="009D434B"/>
    <w:rsid w:val="009F381C"/>
    <w:rsid w:val="00A03217"/>
    <w:rsid w:val="00A14BD9"/>
    <w:rsid w:val="00A300DA"/>
    <w:rsid w:val="00A37884"/>
    <w:rsid w:val="00A436EA"/>
    <w:rsid w:val="00A568AB"/>
    <w:rsid w:val="00A60643"/>
    <w:rsid w:val="00A720D8"/>
    <w:rsid w:val="00A74571"/>
    <w:rsid w:val="00A85034"/>
    <w:rsid w:val="00A96F89"/>
    <w:rsid w:val="00AC25FC"/>
    <w:rsid w:val="00AC37FB"/>
    <w:rsid w:val="00AC435F"/>
    <w:rsid w:val="00AD0664"/>
    <w:rsid w:val="00AD3F53"/>
    <w:rsid w:val="00AD52AA"/>
    <w:rsid w:val="00AE5E82"/>
    <w:rsid w:val="00AE6A21"/>
    <w:rsid w:val="00AF0023"/>
    <w:rsid w:val="00AF0A9D"/>
    <w:rsid w:val="00AF27AE"/>
    <w:rsid w:val="00B10A71"/>
    <w:rsid w:val="00B10C83"/>
    <w:rsid w:val="00B1718A"/>
    <w:rsid w:val="00B268D3"/>
    <w:rsid w:val="00B40B81"/>
    <w:rsid w:val="00B40BE0"/>
    <w:rsid w:val="00B427BD"/>
    <w:rsid w:val="00B44D81"/>
    <w:rsid w:val="00B5029F"/>
    <w:rsid w:val="00B55F5A"/>
    <w:rsid w:val="00B56D0C"/>
    <w:rsid w:val="00B56E90"/>
    <w:rsid w:val="00B57FF9"/>
    <w:rsid w:val="00B63F67"/>
    <w:rsid w:val="00B67DD1"/>
    <w:rsid w:val="00B73F61"/>
    <w:rsid w:val="00B74D67"/>
    <w:rsid w:val="00B74F9B"/>
    <w:rsid w:val="00B76AD5"/>
    <w:rsid w:val="00B92739"/>
    <w:rsid w:val="00BA6085"/>
    <w:rsid w:val="00BB2757"/>
    <w:rsid w:val="00BC1103"/>
    <w:rsid w:val="00BC5662"/>
    <w:rsid w:val="00BC6518"/>
    <w:rsid w:val="00BD2699"/>
    <w:rsid w:val="00BD4FCF"/>
    <w:rsid w:val="00BD71B0"/>
    <w:rsid w:val="00BE6A2B"/>
    <w:rsid w:val="00C012DA"/>
    <w:rsid w:val="00C06666"/>
    <w:rsid w:val="00C117E3"/>
    <w:rsid w:val="00C14B9C"/>
    <w:rsid w:val="00C15998"/>
    <w:rsid w:val="00C16E53"/>
    <w:rsid w:val="00C20119"/>
    <w:rsid w:val="00C2453B"/>
    <w:rsid w:val="00C27120"/>
    <w:rsid w:val="00C3104D"/>
    <w:rsid w:val="00C340F4"/>
    <w:rsid w:val="00C3498A"/>
    <w:rsid w:val="00C45E80"/>
    <w:rsid w:val="00C50670"/>
    <w:rsid w:val="00C80CDF"/>
    <w:rsid w:val="00C83277"/>
    <w:rsid w:val="00C873C4"/>
    <w:rsid w:val="00C96874"/>
    <w:rsid w:val="00CA1234"/>
    <w:rsid w:val="00CA59BA"/>
    <w:rsid w:val="00CA7214"/>
    <w:rsid w:val="00CB10B3"/>
    <w:rsid w:val="00CB5ECB"/>
    <w:rsid w:val="00CC4940"/>
    <w:rsid w:val="00CD1717"/>
    <w:rsid w:val="00CD1ED3"/>
    <w:rsid w:val="00CD44EB"/>
    <w:rsid w:val="00CD53EB"/>
    <w:rsid w:val="00CD6A12"/>
    <w:rsid w:val="00CE33BB"/>
    <w:rsid w:val="00CE5311"/>
    <w:rsid w:val="00CE6554"/>
    <w:rsid w:val="00D053B7"/>
    <w:rsid w:val="00D138F2"/>
    <w:rsid w:val="00D20B0B"/>
    <w:rsid w:val="00D221E0"/>
    <w:rsid w:val="00D30BFC"/>
    <w:rsid w:val="00D42AA7"/>
    <w:rsid w:val="00D43216"/>
    <w:rsid w:val="00D4658E"/>
    <w:rsid w:val="00D51A4E"/>
    <w:rsid w:val="00D53507"/>
    <w:rsid w:val="00D552AB"/>
    <w:rsid w:val="00D57845"/>
    <w:rsid w:val="00D8158A"/>
    <w:rsid w:val="00D86518"/>
    <w:rsid w:val="00D86D03"/>
    <w:rsid w:val="00DA2F16"/>
    <w:rsid w:val="00DA38EB"/>
    <w:rsid w:val="00DA4692"/>
    <w:rsid w:val="00DB04DF"/>
    <w:rsid w:val="00DB086D"/>
    <w:rsid w:val="00DB68AB"/>
    <w:rsid w:val="00DC6E3D"/>
    <w:rsid w:val="00DD0179"/>
    <w:rsid w:val="00DD2637"/>
    <w:rsid w:val="00DE062C"/>
    <w:rsid w:val="00DE19CB"/>
    <w:rsid w:val="00DE438A"/>
    <w:rsid w:val="00DF493A"/>
    <w:rsid w:val="00DF6F6B"/>
    <w:rsid w:val="00E00FDE"/>
    <w:rsid w:val="00E01C3C"/>
    <w:rsid w:val="00E0313D"/>
    <w:rsid w:val="00E06112"/>
    <w:rsid w:val="00E06A6B"/>
    <w:rsid w:val="00E126A5"/>
    <w:rsid w:val="00E209DE"/>
    <w:rsid w:val="00E21689"/>
    <w:rsid w:val="00E21E85"/>
    <w:rsid w:val="00E2215A"/>
    <w:rsid w:val="00E26FEC"/>
    <w:rsid w:val="00E301E4"/>
    <w:rsid w:val="00E302AB"/>
    <w:rsid w:val="00E34B4C"/>
    <w:rsid w:val="00E34C9A"/>
    <w:rsid w:val="00E42A88"/>
    <w:rsid w:val="00E55696"/>
    <w:rsid w:val="00E57EDE"/>
    <w:rsid w:val="00E57FC6"/>
    <w:rsid w:val="00E64117"/>
    <w:rsid w:val="00E66B88"/>
    <w:rsid w:val="00E72053"/>
    <w:rsid w:val="00E77903"/>
    <w:rsid w:val="00E81CA9"/>
    <w:rsid w:val="00E852AD"/>
    <w:rsid w:val="00E85323"/>
    <w:rsid w:val="00E8734E"/>
    <w:rsid w:val="00E9600D"/>
    <w:rsid w:val="00EA2635"/>
    <w:rsid w:val="00EA6112"/>
    <w:rsid w:val="00EA6874"/>
    <w:rsid w:val="00EB3600"/>
    <w:rsid w:val="00EC0C2B"/>
    <w:rsid w:val="00EC142E"/>
    <w:rsid w:val="00EC5FC8"/>
    <w:rsid w:val="00EC6AD3"/>
    <w:rsid w:val="00EC779A"/>
    <w:rsid w:val="00ED5E36"/>
    <w:rsid w:val="00ED603B"/>
    <w:rsid w:val="00EE46C3"/>
    <w:rsid w:val="00EF456D"/>
    <w:rsid w:val="00EF5222"/>
    <w:rsid w:val="00F03340"/>
    <w:rsid w:val="00F1112E"/>
    <w:rsid w:val="00F137FE"/>
    <w:rsid w:val="00F1450D"/>
    <w:rsid w:val="00F16C41"/>
    <w:rsid w:val="00F16D97"/>
    <w:rsid w:val="00F24DD6"/>
    <w:rsid w:val="00F25136"/>
    <w:rsid w:val="00F26DF5"/>
    <w:rsid w:val="00F333D2"/>
    <w:rsid w:val="00F336E8"/>
    <w:rsid w:val="00F4075F"/>
    <w:rsid w:val="00F62573"/>
    <w:rsid w:val="00F63B4A"/>
    <w:rsid w:val="00F640F2"/>
    <w:rsid w:val="00F64CD4"/>
    <w:rsid w:val="00F71898"/>
    <w:rsid w:val="00F81230"/>
    <w:rsid w:val="00F81233"/>
    <w:rsid w:val="00F82F2F"/>
    <w:rsid w:val="00F833E7"/>
    <w:rsid w:val="00F97C7B"/>
    <w:rsid w:val="00FA047F"/>
    <w:rsid w:val="00FA7736"/>
    <w:rsid w:val="00FB02D6"/>
    <w:rsid w:val="00FB07A2"/>
    <w:rsid w:val="00FB7C9B"/>
    <w:rsid w:val="00FC0568"/>
    <w:rsid w:val="00FC2329"/>
    <w:rsid w:val="00FC643E"/>
    <w:rsid w:val="00FD18A6"/>
    <w:rsid w:val="00FD43BC"/>
    <w:rsid w:val="00FD659A"/>
    <w:rsid w:val="00FD750D"/>
    <w:rsid w:val="00FE038C"/>
    <w:rsid w:val="00FE4E4F"/>
    <w:rsid w:val="00FE7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B7454B"/>
  <w15:docId w15:val="{1FE8C075-F5D6-47ED-833F-B79847A2D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874"/>
    <w:pPr>
      <w:spacing w:before="120" w:after="120" w:line="240" w:lineRule="auto"/>
    </w:pPr>
    <w:rPr>
      <w:rFonts w:ascii="Tahoma" w:eastAsia="Times New Roman" w:hAnsi="Tahoma" w:cs="Times New Roman"/>
      <w:sz w:val="20"/>
      <w:szCs w:val="24"/>
      <w:lang w:val="en-GB" w:eastAsia="en-GB"/>
    </w:rPr>
  </w:style>
  <w:style w:type="paragraph" w:styleId="Heading1">
    <w:name w:val="heading 1"/>
    <w:basedOn w:val="Normal"/>
    <w:next w:val="NumberedPara"/>
    <w:link w:val="Heading1Char"/>
    <w:uiPriority w:val="9"/>
    <w:qFormat/>
    <w:rsid w:val="00C96874"/>
    <w:pPr>
      <w:keepNext/>
      <w:pageBreakBefore/>
      <w:numPr>
        <w:numId w:val="1"/>
      </w:numPr>
      <w:spacing w:before="240" w:after="60"/>
      <w:outlineLvl w:val="0"/>
    </w:pPr>
    <w:rPr>
      <w:rFonts w:cs="Arial"/>
      <w:b/>
      <w:bCs/>
      <w:kern w:val="32"/>
      <w:sz w:val="40"/>
      <w:szCs w:val="32"/>
    </w:rPr>
  </w:style>
  <w:style w:type="paragraph" w:styleId="Heading2">
    <w:name w:val="heading 2"/>
    <w:basedOn w:val="Normal"/>
    <w:next w:val="NumberedPara"/>
    <w:link w:val="Heading2Char"/>
    <w:uiPriority w:val="9"/>
    <w:qFormat/>
    <w:rsid w:val="00C96874"/>
    <w:pPr>
      <w:keepNext/>
      <w:numPr>
        <w:ilvl w:val="1"/>
        <w:numId w:val="1"/>
      </w:numPr>
      <w:spacing w:before="240" w:after="240"/>
      <w:outlineLvl w:val="1"/>
    </w:pPr>
    <w:rPr>
      <w:rFonts w:cs="Arial"/>
      <w:b/>
      <w:bCs/>
      <w:iCs/>
      <w:color w:val="00B0F0"/>
      <w:sz w:val="32"/>
      <w:szCs w:val="28"/>
    </w:rPr>
  </w:style>
  <w:style w:type="paragraph" w:styleId="Heading3">
    <w:name w:val="heading 3"/>
    <w:basedOn w:val="Normal"/>
    <w:next w:val="NumberedPara"/>
    <w:link w:val="Heading3Char"/>
    <w:uiPriority w:val="9"/>
    <w:qFormat/>
    <w:rsid w:val="00C96874"/>
    <w:pPr>
      <w:keepNext/>
      <w:numPr>
        <w:ilvl w:val="2"/>
        <w:numId w:val="1"/>
      </w:numPr>
      <w:spacing w:before="240" w:after="240"/>
      <w:outlineLvl w:val="2"/>
    </w:pPr>
    <w:rPr>
      <w:rFonts w:cs="Arial"/>
      <w:b/>
      <w:bCs/>
      <w:sz w:val="24"/>
      <w:szCs w:val="26"/>
    </w:rPr>
  </w:style>
  <w:style w:type="paragraph" w:styleId="Heading4">
    <w:name w:val="heading 4"/>
    <w:basedOn w:val="Normal"/>
    <w:next w:val="NumberedPara"/>
    <w:link w:val="Heading4Char"/>
    <w:qFormat/>
    <w:rsid w:val="00C96874"/>
    <w:pPr>
      <w:keepNext/>
      <w:spacing w:before="240" w:after="60"/>
      <w:outlineLvl w:val="3"/>
    </w:pPr>
    <w:rPr>
      <w:b/>
      <w:bCs/>
      <w:sz w:val="22"/>
      <w:szCs w:val="28"/>
    </w:rPr>
  </w:style>
  <w:style w:type="paragraph" w:styleId="Heading5">
    <w:name w:val="heading 5"/>
    <w:basedOn w:val="Normal"/>
    <w:next w:val="Normal"/>
    <w:link w:val="Heading5Char"/>
    <w:qFormat/>
    <w:rsid w:val="008B4B1C"/>
    <w:pPr>
      <w:tabs>
        <w:tab w:val="num" w:pos="3200"/>
      </w:tabs>
      <w:spacing w:before="240" w:after="60"/>
      <w:outlineLvl w:val="4"/>
    </w:pPr>
    <w:rPr>
      <w:rFonts w:cs="Tahoma"/>
      <w:b/>
      <w:bCs/>
      <w:iCs/>
      <w:sz w:val="22"/>
      <w:szCs w:val="22"/>
    </w:rPr>
  </w:style>
  <w:style w:type="paragraph" w:styleId="Heading6">
    <w:name w:val="heading 6"/>
    <w:basedOn w:val="Normal"/>
    <w:next w:val="Normal"/>
    <w:link w:val="Heading6Char"/>
    <w:qFormat/>
    <w:rsid w:val="00C96874"/>
    <w:pPr>
      <w:tabs>
        <w:tab w:val="num" w:pos="3920"/>
      </w:tabs>
      <w:spacing w:before="240" w:after="60"/>
      <w:ind w:left="3560"/>
      <w:outlineLvl w:val="5"/>
    </w:pPr>
    <w:rPr>
      <w:rFonts w:ascii="Times New Roman" w:hAnsi="Times New Roman"/>
      <w:b/>
      <w:bCs/>
      <w:sz w:val="22"/>
      <w:szCs w:val="22"/>
    </w:rPr>
  </w:style>
  <w:style w:type="paragraph" w:styleId="Heading7">
    <w:name w:val="heading 7"/>
    <w:basedOn w:val="Normal"/>
    <w:next w:val="Normal"/>
    <w:link w:val="Heading7Char"/>
    <w:qFormat/>
    <w:rsid w:val="00C96874"/>
    <w:pPr>
      <w:tabs>
        <w:tab w:val="num" w:pos="4640"/>
      </w:tabs>
      <w:spacing w:before="240" w:after="60"/>
      <w:ind w:left="4280"/>
      <w:outlineLvl w:val="6"/>
    </w:pPr>
    <w:rPr>
      <w:rFonts w:ascii="Times New Roman" w:hAnsi="Times New Roman"/>
    </w:rPr>
  </w:style>
  <w:style w:type="paragraph" w:styleId="Heading8">
    <w:name w:val="heading 8"/>
    <w:basedOn w:val="Normal"/>
    <w:next w:val="Normal"/>
    <w:link w:val="Heading8Char"/>
    <w:qFormat/>
    <w:rsid w:val="00C96874"/>
    <w:pPr>
      <w:tabs>
        <w:tab w:val="num" w:pos="5360"/>
      </w:tabs>
      <w:spacing w:before="240" w:after="60"/>
      <w:ind w:left="5000"/>
      <w:outlineLvl w:val="7"/>
    </w:pPr>
    <w:rPr>
      <w:rFonts w:ascii="Times New Roman" w:hAnsi="Times New Roman"/>
      <w:i/>
      <w:iCs/>
    </w:rPr>
  </w:style>
  <w:style w:type="paragraph" w:styleId="Heading9">
    <w:name w:val="heading 9"/>
    <w:basedOn w:val="Normal"/>
    <w:next w:val="Normal"/>
    <w:link w:val="Heading9Char"/>
    <w:qFormat/>
    <w:rsid w:val="00C96874"/>
    <w:pPr>
      <w:tabs>
        <w:tab w:val="num" w:pos="6080"/>
      </w:tabs>
      <w:spacing w:before="240" w:after="60"/>
      <w:ind w:left="572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874"/>
    <w:rPr>
      <w:rFonts w:ascii="Tahoma" w:eastAsia="Times New Roman" w:hAnsi="Tahoma" w:cs="Arial"/>
      <w:b/>
      <w:bCs/>
      <w:kern w:val="32"/>
      <w:sz w:val="40"/>
      <w:szCs w:val="32"/>
      <w:lang w:val="en-GB" w:eastAsia="en-GB"/>
    </w:rPr>
  </w:style>
  <w:style w:type="character" w:customStyle="1" w:styleId="Heading2Char">
    <w:name w:val="Heading 2 Char"/>
    <w:basedOn w:val="DefaultParagraphFont"/>
    <w:link w:val="Heading2"/>
    <w:rsid w:val="00C96874"/>
    <w:rPr>
      <w:rFonts w:ascii="Tahoma" w:eastAsia="Times New Roman" w:hAnsi="Tahoma" w:cs="Arial"/>
      <w:b/>
      <w:bCs/>
      <w:iCs/>
      <w:color w:val="00B0F0"/>
      <w:sz w:val="32"/>
      <w:szCs w:val="28"/>
      <w:lang w:val="en-GB" w:eastAsia="en-GB"/>
    </w:rPr>
  </w:style>
  <w:style w:type="character" w:customStyle="1" w:styleId="Heading3Char">
    <w:name w:val="Heading 3 Char"/>
    <w:basedOn w:val="DefaultParagraphFont"/>
    <w:link w:val="Heading3"/>
    <w:rsid w:val="00C96874"/>
    <w:rPr>
      <w:rFonts w:ascii="Tahoma" w:eastAsia="Times New Roman" w:hAnsi="Tahoma" w:cs="Arial"/>
      <w:b/>
      <w:bCs/>
      <w:sz w:val="24"/>
      <w:szCs w:val="26"/>
      <w:lang w:val="en-GB" w:eastAsia="en-GB"/>
    </w:rPr>
  </w:style>
  <w:style w:type="character" w:customStyle="1" w:styleId="Heading4Char">
    <w:name w:val="Heading 4 Char"/>
    <w:basedOn w:val="DefaultParagraphFont"/>
    <w:link w:val="Heading4"/>
    <w:rsid w:val="00C96874"/>
    <w:rPr>
      <w:rFonts w:ascii="Tahoma" w:eastAsia="Times New Roman" w:hAnsi="Tahoma" w:cs="Times New Roman"/>
      <w:b/>
      <w:bCs/>
      <w:szCs w:val="28"/>
      <w:lang w:val="en-GB" w:eastAsia="en-GB"/>
    </w:rPr>
  </w:style>
  <w:style w:type="character" w:customStyle="1" w:styleId="Heading5Char">
    <w:name w:val="Heading 5 Char"/>
    <w:basedOn w:val="DefaultParagraphFont"/>
    <w:link w:val="Heading5"/>
    <w:rsid w:val="008B4B1C"/>
    <w:rPr>
      <w:rFonts w:ascii="Tahoma" w:eastAsia="Times New Roman" w:hAnsi="Tahoma" w:cs="Tahoma"/>
      <w:b/>
      <w:bCs/>
      <w:iCs/>
      <w:lang w:val="en-GB" w:eastAsia="en-GB"/>
    </w:rPr>
  </w:style>
  <w:style w:type="character" w:customStyle="1" w:styleId="Heading6Char">
    <w:name w:val="Heading 6 Char"/>
    <w:basedOn w:val="DefaultParagraphFont"/>
    <w:link w:val="Heading6"/>
    <w:rsid w:val="00C96874"/>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rsid w:val="00C96874"/>
    <w:rPr>
      <w:rFonts w:ascii="Times New Roman" w:eastAsia="Times New Roman" w:hAnsi="Times New Roman" w:cs="Times New Roman"/>
      <w:sz w:val="20"/>
      <w:szCs w:val="24"/>
      <w:lang w:val="en-GB" w:eastAsia="en-GB"/>
    </w:rPr>
  </w:style>
  <w:style w:type="character" w:customStyle="1" w:styleId="Heading8Char">
    <w:name w:val="Heading 8 Char"/>
    <w:basedOn w:val="DefaultParagraphFont"/>
    <w:link w:val="Heading8"/>
    <w:rsid w:val="00C96874"/>
    <w:rPr>
      <w:rFonts w:ascii="Times New Roman" w:eastAsia="Times New Roman" w:hAnsi="Times New Roman" w:cs="Times New Roman"/>
      <w:i/>
      <w:iCs/>
      <w:sz w:val="20"/>
      <w:szCs w:val="24"/>
      <w:lang w:val="en-GB" w:eastAsia="en-GB"/>
    </w:rPr>
  </w:style>
  <w:style w:type="character" w:customStyle="1" w:styleId="Heading9Char">
    <w:name w:val="Heading 9 Char"/>
    <w:basedOn w:val="DefaultParagraphFont"/>
    <w:link w:val="Heading9"/>
    <w:rsid w:val="00C96874"/>
    <w:rPr>
      <w:rFonts w:ascii="Arial" w:eastAsia="Times New Roman" w:hAnsi="Arial" w:cs="Arial"/>
      <w:lang w:val="en-GB" w:eastAsia="en-GB"/>
    </w:rPr>
  </w:style>
  <w:style w:type="paragraph" w:customStyle="1" w:styleId="NumberedPara">
    <w:name w:val="Numbered Para"/>
    <w:basedOn w:val="Normal"/>
    <w:qFormat/>
    <w:rsid w:val="00C96874"/>
    <w:pPr>
      <w:numPr>
        <w:numId w:val="3"/>
      </w:numPr>
      <w:tabs>
        <w:tab w:val="clear" w:pos="1135"/>
        <w:tab w:val="num" w:pos="2127"/>
      </w:tabs>
      <w:spacing w:after="60"/>
      <w:ind w:left="2127"/>
      <w:jc w:val="both"/>
    </w:pPr>
  </w:style>
  <w:style w:type="paragraph" w:customStyle="1" w:styleId="Bullet">
    <w:name w:val="Bullet"/>
    <w:basedOn w:val="Normal"/>
    <w:qFormat/>
    <w:rsid w:val="00C96874"/>
    <w:pPr>
      <w:numPr>
        <w:numId w:val="2"/>
      </w:numPr>
      <w:spacing w:after="60"/>
    </w:pPr>
  </w:style>
  <w:style w:type="paragraph" w:customStyle="1" w:styleId="NumberedBullet">
    <w:name w:val="Numbered Bullet"/>
    <w:basedOn w:val="Normal"/>
    <w:qFormat/>
    <w:rsid w:val="00C96874"/>
    <w:pPr>
      <w:numPr>
        <w:numId w:val="4"/>
      </w:numPr>
      <w:spacing w:after="60"/>
    </w:pPr>
  </w:style>
  <w:style w:type="paragraph" w:customStyle="1" w:styleId="BulletDouble">
    <w:name w:val="Bullet Double"/>
    <w:basedOn w:val="Normal"/>
    <w:qFormat/>
    <w:rsid w:val="00C96874"/>
    <w:pPr>
      <w:numPr>
        <w:numId w:val="5"/>
      </w:numPr>
    </w:pPr>
  </w:style>
  <w:style w:type="paragraph" w:customStyle="1" w:styleId="Leader">
    <w:name w:val="Leader"/>
    <w:basedOn w:val="Normal"/>
    <w:link w:val="LeaderChar"/>
    <w:rsid w:val="00C96874"/>
    <w:pPr>
      <w:spacing w:after="240"/>
      <w:jc w:val="center"/>
    </w:pPr>
    <w:rPr>
      <w:b/>
      <w:sz w:val="40"/>
    </w:rPr>
  </w:style>
  <w:style w:type="paragraph" w:styleId="Header">
    <w:name w:val="header"/>
    <w:basedOn w:val="Normal"/>
    <w:link w:val="HeaderChar"/>
    <w:rsid w:val="00C96874"/>
    <w:pPr>
      <w:tabs>
        <w:tab w:val="center" w:pos="4153"/>
        <w:tab w:val="right" w:pos="8306"/>
      </w:tabs>
    </w:pPr>
  </w:style>
  <w:style w:type="character" w:customStyle="1" w:styleId="HeaderChar">
    <w:name w:val="Header Char"/>
    <w:basedOn w:val="DefaultParagraphFont"/>
    <w:link w:val="Header"/>
    <w:rsid w:val="00C96874"/>
    <w:rPr>
      <w:rFonts w:ascii="Tahoma" w:eastAsia="Times New Roman" w:hAnsi="Tahoma" w:cs="Times New Roman"/>
      <w:sz w:val="20"/>
      <w:szCs w:val="24"/>
      <w:lang w:val="en-GB" w:eastAsia="en-GB"/>
    </w:rPr>
  </w:style>
  <w:style w:type="paragraph" w:styleId="Footer">
    <w:name w:val="footer"/>
    <w:basedOn w:val="Normal"/>
    <w:link w:val="FooterChar"/>
    <w:rsid w:val="00C96874"/>
    <w:pPr>
      <w:tabs>
        <w:tab w:val="center" w:pos="4153"/>
        <w:tab w:val="right" w:pos="8306"/>
      </w:tabs>
    </w:pPr>
  </w:style>
  <w:style w:type="character" w:customStyle="1" w:styleId="FooterChar">
    <w:name w:val="Footer Char"/>
    <w:basedOn w:val="DefaultParagraphFont"/>
    <w:link w:val="Footer"/>
    <w:rsid w:val="00C96874"/>
    <w:rPr>
      <w:rFonts w:ascii="Tahoma" w:eastAsia="Times New Roman" w:hAnsi="Tahoma" w:cs="Times New Roman"/>
      <w:sz w:val="20"/>
      <w:szCs w:val="24"/>
      <w:lang w:val="en-GB" w:eastAsia="en-GB"/>
    </w:rPr>
  </w:style>
  <w:style w:type="character" w:styleId="PageNumber">
    <w:name w:val="page number"/>
    <w:basedOn w:val="DefaultParagraphFont"/>
    <w:rsid w:val="00C96874"/>
  </w:style>
  <w:style w:type="table" w:styleId="TableGrid">
    <w:name w:val="Table Grid"/>
    <w:basedOn w:val="TableNormal"/>
    <w:uiPriority w:val="59"/>
    <w:rsid w:val="00C9687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rsid w:val="00C96874"/>
    <w:pPr>
      <w:spacing w:before="30" w:after="30"/>
    </w:pPr>
  </w:style>
  <w:style w:type="paragraph" w:styleId="TOC1">
    <w:name w:val="toc 1"/>
    <w:basedOn w:val="Normal"/>
    <w:next w:val="Normal"/>
    <w:autoRedefine/>
    <w:uiPriority w:val="39"/>
    <w:rsid w:val="00C96874"/>
  </w:style>
  <w:style w:type="paragraph" w:styleId="TOC2">
    <w:name w:val="toc 2"/>
    <w:basedOn w:val="Normal"/>
    <w:next w:val="Normal"/>
    <w:autoRedefine/>
    <w:uiPriority w:val="39"/>
    <w:rsid w:val="00C96874"/>
    <w:pPr>
      <w:ind w:left="200"/>
    </w:pPr>
  </w:style>
  <w:style w:type="paragraph" w:styleId="TOC3">
    <w:name w:val="toc 3"/>
    <w:basedOn w:val="Normal"/>
    <w:next w:val="Normal"/>
    <w:autoRedefine/>
    <w:uiPriority w:val="39"/>
    <w:rsid w:val="00C96874"/>
    <w:pPr>
      <w:ind w:left="400"/>
    </w:pPr>
  </w:style>
  <w:style w:type="character" w:styleId="Hyperlink">
    <w:name w:val="Hyperlink"/>
    <w:uiPriority w:val="99"/>
    <w:rsid w:val="00C96874"/>
    <w:rPr>
      <w:color w:val="0000FF"/>
      <w:u w:val="single"/>
    </w:rPr>
  </w:style>
  <w:style w:type="paragraph" w:customStyle="1" w:styleId="Annex">
    <w:name w:val="Annex"/>
    <w:basedOn w:val="Normal"/>
    <w:next w:val="NumberedPara"/>
    <w:rsid w:val="00C96874"/>
    <w:pPr>
      <w:jc w:val="center"/>
    </w:pPr>
    <w:rPr>
      <w:b/>
      <w:sz w:val="40"/>
    </w:rPr>
  </w:style>
  <w:style w:type="paragraph" w:customStyle="1" w:styleId="KeyPoint">
    <w:name w:val="Key Point"/>
    <w:basedOn w:val="Normal"/>
    <w:next w:val="NumberedPara"/>
    <w:rsid w:val="00C96874"/>
    <w:pPr>
      <w:numPr>
        <w:numId w:val="6"/>
      </w:numPr>
    </w:pPr>
    <w:rPr>
      <w:b/>
      <w:i/>
      <w:color w:val="99CC00"/>
    </w:rPr>
  </w:style>
  <w:style w:type="paragraph" w:styleId="Caption">
    <w:name w:val="caption"/>
    <w:basedOn w:val="Normal"/>
    <w:next w:val="Normal"/>
    <w:qFormat/>
    <w:rsid w:val="00C96874"/>
    <w:pPr>
      <w:keepNext/>
      <w:jc w:val="center"/>
    </w:pPr>
    <w:rPr>
      <w:b/>
      <w:bCs/>
      <w:szCs w:val="20"/>
    </w:rPr>
  </w:style>
  <w:style w:type="paragraph" w:styleId="TableofFigures">
    <w:name w:val="table of figures"/>
    <w:basedOn w:val="Normal"/>
    <w:next w:val="Normal"/>
    <w:uiPriority w:val="99"/>
    <w:rsid w:val="00C96874"/>
  </w:style>
  <w:style w:type="paragraph" w:styleId="FootnoteText">
    <w:name w:val="footnote text"/>
    <w:basedOn w:val="Normal"/>
    <w:link w:val="FootnoteTextChar"/>
    <w:uiPriority w:val="99"/>
    <w:semiHidden/>
    <w:rsid w:val="00C96874"/>
    <w:rPr>
      <w:szCs w:val="20"/>
    </w:rPr>
  </w:style>
  <w:style w:type="character" w:customStyle="1" w:styleId="FootnoteTextChar">
    <w:name w:val="Footnote Text Char"/>
    <w:basedOn w:val="DefaultParagraphFont"/>
    <w:link w:val="FootnoteText"/>
    <w:uiPriority w:val="99"/>
    <w:semiHidden/>
    <w:rsid w:val="00C96874"/>
    <w:rPr>
      <w:rFonts w:ascii="Tahoma" w:eastAsia="Times New Roman" w:hAnsi="Tahoma" w:cs="Times New Roman"/>
      <w:sz w:val="20"/>
      <w:szCs w:val="20"/>
      <w:lang w:val="en-GB" w:eastAsia="en-GB"/>
    </w:rPr>
  </w:style>
  <w:style w:type="character" w:styleId="FootnoteReference">
    <w:name w:val="footnote reference"/>
    <w:uiPriority w:val="99"/>
    <w:semiHidden/>
    <w:rsid w:val="00C96874"/>
    <w:rPr>
      <w:vertAlign w:val="superscript"/>
    </w:rPr>
  </w:style>
  <w:style w:type="paragraph" w:customStyle="1" w:styleId="MediumGrid21">
    <w:name w:val="Medium Grid 21"/>
    <w:link w:val="MediumGrid2Char"/>
    <w:rsid w:val="00C96874"/>
    <w:pPr>
      <w:spacing w:after="0" w:line="240" w:lineRule="auto"/>
    </w:pPr>
    <w:rPr>
      <w:rFonts w:ascii="Calibri" w:eastAsia="Calibri" w:hAnsi="Calibri" w:cs="Times New Roman"/>
    </w:rPr>
  </w:style>
  <w:style w:type="character" w:customStyle="1" w:styleId="MediumGrid2Char">
    <w:name w:val="Medium Grid 2 Char"/>
    <w:link w:val="MediumGrid21"/>
    <w:rsid w:val="00C96874"/>
    <w:rPr>
      <w:rFonts w:ascii="Calibri" w:eastAsia="Calibri" w:hAnsi="Calibri" w:cs="Times New Roman"/>
      <w:lang w:val="en-US"/>
    </w:rPr>
  </w:style>
  <w:style w:type="paragraph" w:customStyle="1" w:styleId="Default">
    <w:name w:val="Default"/>
    <w:rsid w:val="00C96874"/>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Recommendation">
    <w:name w:val="Recommendation"/>
    <w:basedOn w:val="Normal"/>
    <w:rsid w:val="00C96874"/>
    <w:pPr>
      <w:keepLines/>
      <w:numPr>
        <w:numId w:val="7"/>
      </w:numPr>
      <w:shd w:val="clear" w:color="auto" w:fill="FFFFFF"/>
      <w:tabs>
        <w:tab w:val="left" w:pos="2268"/>
      </w:tabs>
      <w:spacing w:before="240"/>
    </w:pPr>
    <w:rPr>
      <w:b/>
      <w:i/>
      <w:kern w:val="18"/>
      <w:szCs w:val="22"/>
      <w:lang w:eastAsia="en-US"/>
    </w:rPr>
  </w:style>
  <w:style w:type="paragraph" w:customStyle="1" w:styleId="IndentedNumber">
    <w:name w:val="Indented Number"/>
    <w:basedOn w:val="Normal"/>
    <w:rsid w:val="00C96874"/>
    <w:pPr>
      <w:numPr>
        <w:numId w:val="9"/>
      </w:numPr>
    </w:pPr>
    <w:rPr>
      <w:rFonts w:ascii="Calibri" w:hAnsi="Calibri"/>
    </w:rPr>
  </w:style>
  <w:style w:type="paragraph" w:customStyle="1" w:styleId="StyleCaptionCentered">
    <w:name w:val="Style Caption + Centered"/>
    <w:basedOn w:val="Caption"/>
    <w:rsid w:val="00C96874"/>
  </w:style>
  <w:style w:type="paragraph" w:styleId="BalloonText">
    <w:name w:val="Balloon Text"/>
    <w:basedOn w:val="Normal"/>
    <w:link w:val="BalloonTextChar"/>
    <w:semiHidden/>
    <w:rsid w:val="00C96874"/>
    <w:rPr>
      <w:rFonts w:cs="Tahoma"/>
      <w:sz w:val="16"/>
      <w:szCs w:val="16"/>
    </w:rPr>
  </w:style>
  <w:style w:type="character" w:customStyle="1" w:styleId="BalloonTextChar">
    <w:name w:val="Balloon Text Char"/>
    <w:basedOn w:val="DefaultParagraphFont"/>
    <w:link w:val="BalloonText"/>
    <w:semiHidden/>
    <w:rsid w:val="00C96874"/>
    <w:rPr>
      <w:rFonts w:ascii="Tahoma" w:eastAsia="Times New Roman" w:hAnsi="Tahoma" w:cs="Tahoma"/>
      <w:sz w:val="16"/>
      <w:szCs w:val="16"/>
      <w:lang w:val="en-GB" w:eastAsia="en-GB"/>
    </w:rPr>
  </w:style>
  <w:style w:type="paragraph" w:customStyle="1" w:styleId="StyleLeaderLimeRight">
    <w:name w:val="Style Leader + Lime Right"/>
    <w:basedOn w:val="Leader"/>
    <w:rsid w:val="00C96874"/>
    <w:pPr>
      <w:jc w:val="right"/>
    </w:pPr>
    <w:rPr>
      <w:bCs/>
      <w:color w:val="758453"/>
      <w:szCs w:val="20"/>
    </w:rPr>
  </w:style>
  <w:style w:type="character" w:customStyle="1" w:styleId="PlainTable31">
    <w:name w:val="Plain Table 31"/>
    <w:uiPriority w:val="19"/>
    <w:rsid w:val="00C96874"/>
    <w:rPr>
      <w:i/>
      <w:iCs/>
      <w:color w:val="404040"/>
    </w:rPr>
  </w:style>
  <w:style w:type="paragraph" w:customStyle="1" w:styleId="TOCHeader">
    <w:name w:val="TOC Header"/>
    <w:basedOn w:val="Leader"/>
    <w:link w:val="TOCHeaderChar"/>
    <w:qFormat/>
    <w:rsid w:val="00C96874"/>
  </w:style>
  <w:style w:type="paragraph" w:styleId="BodyText">
    <w:name w:val="Body Text"/>
    <w:basedOn w:val="Normal"/>
    <w:link w:val="BodyTextChar"/>
    <w:uiPriority w:val="1"/>
    <w:qFormat/>
    <w:rsid w:val="00C96874"/>
    <w:pPr>
      <w:widowControl w:val="0"/>
      <w:autoSpaceDE w:val="0"/>
      <w:autoSpaceDN w:val="0"/>
      <w:spacing w:before="0" w:after="0"/>
    </w:pPr>
    <w:rPr>
      <w:rFonts w:eastAsia="Tahoma" w:cs="Tahoma"/>
      <w:szCs w:val="20"/>
      <w:lang w:bidi="en-GB"/>
    </w:rPr>
  </w:style>
  <w:style w:type="character" w:customStyle="1" w:styleId="BodyTextChar">
    <w:name w:val="Body Text Char"/>
    <w:basedOn w:val="DefaultParagraphFont"/>
    <w:link w:val="BodyText"/>
    <w:uiPriority w:val="1"/>
    <w:rsid w:val="00C96874"/>
    <w:rPr>
      <w:rFonts w:ascii="Tahoma" w:eastAsia="Tahoma" w:hAnsi="Tahoma" w:cs="Tahoma"/>
      <w:sz w:val="20"/>
      <w:szCs w:val="20"/>
      <w:lang w:val="en-GB" w:eastAsia="en-GB" w:bidi="en-GB"/>
    </w:rPr>
  </w:style>
  <w:style w:type="character" w:customStyle="1" w:styleId="LeaderChar">
    <w:name w:val="Leader Char"/>
    <w:link w:val="Leader"/>
    <w:rsid w:val="00C96874"/>
    <w:rPr>
      <w:rFonts w:ascii="Tahoma" w:eastAsia="Times New Roman" w:hAnsi="Tahoma" w:cs="Times New Roman"/>
      <w:b/>
      <w:sz w:val="40"/>
      <w:szCs w:val="24"/>
      <w:lang w:val="en-GB" w:eastAsia="en-GB"/>
    </w:rPr>
  </w:style>
  <w:style w:type="character" w:customStyle="1" w:styleId="TOCHeaderChar">
    <w:name w:val="TOC Header Char"/>
    <w:link w:val="TOCHeader"/>
    <w:rsid w:val="00C96874"/>
    <w:rPr>
      <w:rFonts w:ascii="Tahoma" w:eastAsia="Times New Roman" w:hAnsi="Tahoma" w:cs="Times New Roman"/>
      <w:b/>
      <w:sz w:val="40"/>
      <w:szCs w:val="24"/>
      <w:lang w:val="en-GB" w:eastAsia="en-GB"/>
    </w:rPr>
  </w:style>
  <w:style w:type="paragraph" w:styleId="ListParagraph">
    <w:name w:val="List Paragraph"/>
    <w:basedOn w:val="Normal"/>
    <w:uiPriority w:val="34"/>
    <w:qFormat/>
    <w:rsid w:val="00C96874"/>
    <w:pPr>
      <w:widowControl w:val="0"/>
      <w:autoSpaceDE w:val="0"/>
      <w:autoSpaceDN w:val="0"/>
      <w:spacing w:before="121" w:after="0"/>
      <w:ind w:left="1108" w:hanging="708"/>
      <w:jc w:val="both"/>
    </w:pPr>
    <w:rPr>
      <w:rFonts w:eastAsia="Tahoma" w:cs="Tahoma"/>
      <w:sz w:val="22"/>
      <w:szCs w:val="22"/>
      <w:lang w:bidi="en-GB"/>
    </w:rPr>
  </w:style>
  <w:style w:type="paragraph" w:customStyle="1" w:styleId="TableParagraph">
    <w:name w:val="Table Paragraph"/>
    <w:basedOn w:val="Normal"/>
    <w:uiPriority w:val="1"/>
    <w:qFormat/>
    <w:rsid w:val="00C96874"/>
    <w:pPr>
      <w:widowControl w:val="0"/>
      <w:autoSpaceDE w:val="0"/>
      <w:autoSpaceDN w:val="0"/>
      <w:spacing w:before="113" w:after="0"/>
      <w:ind w:left="79"/>
    </w:pPr>
    <w:rPr>
      <w:rFonts w:eastAsia="Tahoma" w:cs="Tahoma"/>
      <w:sz w:val="22"/>
      <w:szCs w:val="22"/>
      <w:lang w:bidi="en-GB"/>
    </w:rPr>
  </w:style>
  <w:style w:type="character" w:styleId="CommentReference">
    <w:name w:val="annotation reference"/>
    <w:rsid w:val="00C96874"/>
    <w:rPr>
      <w:sz w:val="16"/>
      <w:szCs w:val="16"/>
    </w:rPr>
  </w:style>
  <w:style w:type="paragraph" w:styleId="CommentText">
    <w:name w:val="annotation text"/>
    <w:basedOn w:val="Normal"/>
    <w:link w:val="CommentTextChar"/>
    <w:rsid w:val="00C96874"/>
    <w:rPr>
      <w:szCs w:val="20"/>
    </w:rPr>
  </w:style>
  <w:style w:type="character" w:customStyle="1" w:styleId="CommentTextChar">
    <w:name w:val="Comment Text Char"/>
    <w:basedOn w:val="DefaultParagraphFont"/>
    <w:link w:val="CommentText"/>
    <w:rsid w:val="00C96874"/>
    <w:rPr>
      <w:rFonts w:ascii="Tahoma" w:eastAsia="Times New Roman" w:hAnsi="Tahoma" w:cs="Times New Roman"/>
      <w:sz w:val="20"/>
      <w:szCs w:val="20"/>
      <w:lang w:val="en-GB" w:eastAsia="en-GB"/>
    </w:rPr>
  </w:style>
  <w:style w:type="paragraph" w:styleId="CommentSubject">
    <w:name w:val="annotation subject"/>
    <w:basedOn w:val="CommentText"/>
    <w:next w:val="CommentText"/>
    <w:link w:val="CommentSubjectChar"/>
    <w:rsid w:val="00C96874"/>
    <w:rPr>
      <w:b/>
      <w:bCs/>
    </w:rPr>
  </w:style>
  <w:style w:type="character" w:customStyle="1" w:styleId="CommentSubjectChar">
    <w:name w:val="Comment Subject Char"/>
    <w:basedOn w:val="CommentTextChar"/>
    <w:link w:val="CommentSubject"/>
    <w:rsid w:val="00C96874"/>
    <w:rPr>
      <w:rFonts w:ascii="Tahoma" w:eastAsia="Times New Roman" w:hAnsi="Tahoma" w:cs="Times New Roman"/>
      <w:b/>
      <w:bCs/>
      <w:sz w:val="20"/>
      <w:szCs w:val="20"/>
      <w:lang w:val="en-GB" w:eastAsia="en-GB"/>
    </w:rPr>
  </w:style>
  <w:style w:type="paragraph" w:styleId="Revision">
    <w:name w:val="Revision"/>
    <w:hidden/>
    <w:uiPriority w:val="99"/>
    <w:semiHidden/>
    <w:rsid w:val="00C96874"/>
    <w:pPr>
      <w:spacing w:after="0" w:line="240" w:lineRule="auto"/>
    </w:pPr>
    <w:rPr>
      <w:rFonts w:ascii="Tahoma" w:eastAsia="Times New Roman" w:hAnsi="Tahoma" w:cs="Times New Roman"/>
      <w:sz w:val="20"/>
      <w:szCs w:val="24"/>
      <w:lang w:val="en-GB" w:eastAsia="en-GB"/>
    </w:rPr>
  </w:style>
  <w:style w:type="character" w:styleId="BookTitle">
    <w:name w:val="Book Title"/>
    <w:uiPriority w:val="33"/>
    <w:qFormat/>
    <w:rsid w:val="00C96874"/>
    <w:rPr>
      <w:b/>
      <w:bCs/>
      <w:i/>
      <w:iCs/>
      <w:spacing w:val="5"/>
    </w:rPr>
  </w:style>
  <w:style w:type="character" w:customStyle="1" w:styleId="UnresolvedMention1">
    <w:name w:val="Unresolved Mention1"/>
    <w:basedOn w:val="DefaultParagraphFont"/>
    <w:uiPriority w:val="99"/>
    <w:semiHidden/>
    <w:unhideWhenUsed/>
    <w:rsid w:val="006914D6"/>
    <w:rPr>
      <w:color w:val="605E5C"/>
      <w:shd w:val="clear" w:color="auto" w:fill="E1DFDD"/>
    </w:rPr>
  </w:style>
  <w:style w:type="paragraph" w:styleId="TOCHeading">
    <w:name w:val="TOC Heading"/>
    <w:basedOn w:val="Heading1"/>
    <w:next w:val="Normal"/>
    <w:uiPriority w:val="39"/>
    <w:unhideWhenUsed/>
    <w:qFormat/>
    <w:rsid w:val="00924D84"/>
    <w:pPr>
      <w:keepLines/>
      <w:pageBreakBefore w:val="0"/>
      <w:numPr>
        <w:numId w:val="0"/>
      </w:numPr>
      <w:spacing w:after="0" w:line="259" w:lineRule="auto"/>
      <w:outlineLvl w:val="9"/>
    </w:pPr>
    <w:rPr>
      <w:rFonts w:asciiTheme="majorHAnsi" w:eastAsiaTheme="majorEastAsia" w:hAnsiTheme="majorHAnsi" w:cstheme="majorBidi"/>
      <w:b w:val="0"/>
      <w:bCs w:val="0"/>
      <w:color w:val="2F5496" w:themeColor="accent1" w:themeShade="BF"/>
      <w:kern w:val="0"/>
      <w:sz w:val="32"/>
      <w:lang w:val="en-US" w:eastAsia="en-US"/>
    </w:rPr>
  </w:style>
  <w:style w:type="table" w:customStyle="1" w:styleId="TableGrid1">
    <w:name w:val="Table Grid1"/>
    <w:basedOn w:val="TableNormal"/>
    <w:next w:val="TableGrid"/>
    <w:uiPriority w:val="39"/>
    <w:rsid w:val="001E20A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D1175"/>
    <w:pPr>
      <w:spacing w:after="0" w:line="240" w:lineRule="auto"/>
    </w:pPr>
    <w:rPr>
      <w:rFonts w:ascii="Calibri" w:eastAsia="SimSun" w:hAnsi="Calibri"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647106">
      <w:bodyDiv w:val="1"/>
      <w:marLeft w:val="0"/>
      <w:marRight w:val="0"/>
      <w:marTop w:val="0"/>
      <w:marBottom w:val="0"/>
      <w:divBdr>
        <w:top w:val="none" w:sz="0" w:space="0" w:color="auto"/>
        <w:left w:val="none" w:sz="0" w:space="0" w:color="auto"/>
        <w:bottom w:val="none" w:sz="0" w:space="0" w:color="auto"/>
        <w:right w:val="none" w:sz="0" w:space="0" w:color="auto"/>
      </w:divBdr>
    </w:div>
    <w:div w:id="727996526">
      <w:bodyDiv w:val="1"/>
      <w:marLeft w:val="0"/>
      <w:marRight w:val="0"/>
      <w:marTop w:val="0"/>
      <w:marBottom w:val="0"/>
      <w:divBdr>
        <w:top w:val="none" w:sz="0" w:space="0" w:color="auto"/>
        <w:left w:val="none" w:sz="0" w:space="0" w:color="auto"/>
        <w:bottom w:val="none" w:sz="0" w:space="0" w:color="auto"/>
        <w:right w:val="none" w:sz="0" w:space="0" w:color="auto"/>
      </w:divBdr>
    </w:div>
    <w:div w:id="957221251">
      <w:bodyDiv w:val="1"/>
      <w:marLeft w:val="0"/>
      <w:marRight w:val="0"/>
      <w:marTop w:val="0"/>
      <w:marBottom w:val="0"/>
      <w:divBdr>
        <w:top w:val="none" w:sz="0" w:space="0" w:color="auto"/>
        <w:left w:val="none" w:sz="0" w:space="0" w:color="auto"/>
        <w:bottom w:val="none" w:sz="0" w:space="0" w:color="auto"/>
        <w:right w:val="none" w:sz="0" w:space="0" w:color="auto"/>
      </w:divBdr>
    </w:div>
    <w:div w:id="1515999381">
      <w:bodyDiv w:val="1"/>
      <w:marLeft w:val="0"/>
      <w:marRight w:val="0"/>
      <w:marTop w:val="0"/>
      <w:marBottom w:val="0"/>
      <w:divBdr>
        <w:top w:val="none" w:sz="0" w:space="0" w:color="auto"/>
        <w:left w:val="none" w:sz="0" w:space="0" w:color="auto"/>
        <w:bottom w:val="none" w:sz="0" w:space="0" w:color="auto"/>
        <w:right w:val="none" w:sz="0" w:space="0" w:color="auto"/>
      </w:divBdr>
    </w:div>
    <w:div w:id="1668940847">
      <w:bodyDiv w:val="1"/>
      <w:marLeft w:val="0"/>
      <w:marRight w:val="0"/>
      <w:marTop w:val="0"/>
      <w:marBottom w:val="0"/>
      <w:divBdr>
        <w:top w:val="none" w:sz="0" w:space="0" w:color="auto"/>
        <w:left w:val="none" w:sz="0" w:space="0" w:color="auto"/>
        <w:bottom w:val="none" w:sz="0" w:space="0" w:color="auto"/>
        <w:right w:val="none" w:sz="0" w:space="0" w:color="auto"/>
      </w:divBdr>
    </w:div>
    <w:div w:id="2114787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6.PNG"/><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0.emf"/><Relationship Id="rId68"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emf"/><Relationship Id="rId11" Type="http://schemas.openxmlformats.org/officeDocument/2006/relationships/header" Target="header2.xml"/><Relationship Id="rId24" Type="http://schemas.microsoft.com/office/2016/09/relationships/commentsIds" Target="commentsIds.xm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header" Target="header9.xml"/><Relationship Id="rId58" Type="http://schemas.openxmlformats.org/officeDocument/2006/relationships/image" Target="media/image35.emf"/><Relationship Id="rId66" Type="http://schemas.openxmlformats.org/officeDocument/2006/relationships/image" Target="media/image43.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emf"/><Relationship Id="rId19" Type="http://schemas.openxmlformats.org/officeDocument/2006/relationships/image" Target="media/image4.png"/><Relationship Id="rId14" Type="http://schemas.openxmlformats.org/officeDocument/2006/relationships/header" Target="header5.xml"/><Relationship Id="rId22" Type="http://schemas.openxmlformats.org/officeDocument/2006/relationships/comments" Target="comments.xm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6.emf"/><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emf"/><Relationship Id="rId25" Type="http://schemas.microsoft.com/office/2018/08/relationships/commentsExtensible" Target="commentsExtensible.xml"/><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image" Target="media/image5.png"/><Relationship Id="rId41" Type="http://schemas.openxmlformats.org/officeDocument/2006/relationships/image" Target="media/image22.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microsoft.com/office/2011/relationships/commentsExtended" Target="commentsExtended.xml"/><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4.emf"/><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footer" Target="footer2.xml"/><Relationship Id="rId60" Type="http://schemas.openxmlformats.org/officeDocument/2006/relationships/image" Target="media/image37.emf"/><Relationship Id="rId65" Type="http://schemas.openxmlformats.org/officeDocument/2006/relationships/image" Target="media/image42.emf"/><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mobp.kadgov.ng/" TargetMode="External"/><Relationship Id="rId13" Type="http://schemas.openxmlformats.org/officeDocument/2006/relationships/header" Target="header4.xml"/><Relationship Id="rId18" Type="http://schemas.openxmlformats.org/officeDocument/2006/relationships/image" Target="media/image3.emf"/><Relationship Id="rId39" Type="http://schemas.openxmlformats.org/officeDocument/2006/relationships/image" Target="media/image20.emf"/><Relationship Id="rId34" Type="http://schemas.openxmlformats.org/officeDocument/2006/relationships/image" Target="media/image15.png"/><Relationship Id="rId50" Type="http://schemas.openxmlformats.org/officeDocument/2006/relationships/header" Target="header7.xml"/><Relationship Id="rId55" Type="http://schemas.openxmlformats.org/officeDocument/2006/relationships/image" Target="media/image32.emf"/><Relationship Id="rId7" Type="http://schemas.openxmlformats.org/officeDocument/2006/relationships/endnotes" Target="endnotes.xml"/><Relationship Id="rId71"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24570-D120-47A9-B1A5-D7ECF3D9E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15351</Words>
  <Characters>83669</Characters>
  <Application>Microsoft Office Word</Application>
  <DocSecurity>0</DocSecurity>
  <Lines>1859</Lines>
  <Paragraphs>970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Aliyu Adamu</dc:creator>
  <cp:keywords/>
  <dc:description/>
  <cp:lastModifiedBy>Adamu Aliyu</cp:lastModifiedBy>
  <cp:revision>2</cp:revision>
  <dcterms:created xsi:type="dcterms:W3CDTF">2023-11-06T16:01:00Z</dcterms:created>
  <dcterms:modified xsi:type="dcterms:W3CDTF">2023-11-06T16:01:00Z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6c9404ce8039f7a95de15c7a1b68d63c7c0e33025ffb3501eff99be6201b2097</vt:lpwstr>
  </property>
</Properties>
</file>