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SUMMARY OF THE MINUTE OF THE STEERING COMMITTEE OGP AMAC THAT WAS HELD ON THE 5</w:t>
      </w:r>
      <w:r>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OF JUNE 2023</w:t>
      </w:r>
    </w:p>
    <w:p>
      <w:pPr>
        <w:rPr>
          <w:rFonts w:ascii="Times New Roman" w:hAnsi="Times New Roman" w:cs="Times New Roman"/>
          <w:sz w:val="28"/>
          <w:szCs w:val="28"/>
        </w:rPr>
      </w:pPr>
      <w:r>
        <w:rPr>
          <w:rFonts w:ascii="Times New Roman" w:hAnsi="Times New Roman" w:cs="Times New Roman"/>
          <w:sz w:val="28"/>
          <w:szCs w:val="28"/>
        </w:rPr>
        <w:t>The meeting was attended by 9 members (including AMAC staff and OGP members) and the conversation was to map out the milestone plan for the second Action plan.</w:t>
      </w:r>
    </w:p>
    <w:p>
      <w:pPr>
        <w:rPr>
          <w:rFonts w:ascii="Times New Roman" w:hAnsi="Times New Roman" w:cs="Times New Roman"/>
          <w:sz w:val="28"/>
          <w:szCs w:val="28"/>
        </w:rPr>
      </w:pPr>
      <w:r>
        <w:rPr>
          <w:rFonts w:ascii="Times New Roman" w:hAnsi="Times New Roman" w:cs="Times New Roman"/>
          <w:sz w:val="28"/>
          <w:szCs w:val="28"/>
        </w:rPr>
        <w:t xml:space="preserve">Summary of the meeting: It was agreed that the logistics unit will lead the implementation plan while the Department of Works and legal unit of the council will support the logistics unit. The procurement cycle for 2023 has been completed, so our activities for the remaining part of the year will focus on capacity building and review of the procurement process </w:t>
      </w:r>
    </w:p>
    <w:p>
      <w:pPr>
        <w:rPr>
          <w:rFonts w:ascii="Times New Roman" w:hAnsi="Times New Roman" w:cs="Times New Roman"/>
          <w:sz w:val="28"/>
          <w:szCs w:val="28"/>
        </w:rPr>
      </w:pPr>
      <w:r>
        <w:rPr>
          <w:rFonts w:ascii="Times New Roman" w:hAnsi="Times New Roman" w:cs="Times New Roman"/>
          <w:sz w:val="28"/>
          <w:szCs w:val="28"/>
        </w:rPr>
        <w:t>The timeline for the project was worked on.</w:t>
      </w:r>
    </w:p>
    <w:p>
      <w:pPr>
        <w:rPr>
          <w:rFonts w:ascii="Times New Roman" w:hAnsi="Times New Roman" w:cs="Times New Roman"/>
          <w:sz w:val="28"/>
          <w:szCs w:val="28"/>
        </w:rPr>
      </w:pPr>
      <w:r>
        <w:rPr>
          <w:rFonts w:ascii="Times New Roman" w:hAnsi="Times New Roman" w:cs="Times New Roman"/>
          <w:sz w:val="28"/>
          <w:szCs w:val="28"/>
        </w:rPr>
        <w:t>The output of the project was also addressed.</w:t>
      </w:r>
    </w:p>
    <w:p>
      <w:pPr>
        <w:rPr>
          <w:rFonts w:ascii="Times New Roman" w:hAnsi="Times New Roman" w:cs="Times New Roman"/>
          <w:sz w:val="28"/>
          <w:szCs w:val="28"/>
        </w:rPr>
      </w:pPr>
      <w:r>
        <w:rPr>
          <w:rFonts w:ascii="Times New Roman" w:hAnsi="Times New Roman" w:cs="Times New Roman"/>
          <w:sz w:val="28"/>
          <w:szCs w:val="28"/>
        </w:rPr>
        <w:t>There will be a procurement process as of 2024.</w:t>
      </w:r>
    </w:p>
    <w:p>
      <w:pPr>
        <w:rPr>
          <w:rFonts w:ascii="Times New Roman" w:hAnsi="Times New Roman" w:cs="Times New Roman"/>
          <w:sz w:val="28"/>
          <w:szCs w:val="28"/>
        </w:rPr>
      </w:pPr>
      <w:r>
        <w:rPr>
          <w:rFonts w:ascii="Times New Roman" w:hAnsi="Times New Roman" w:cs="Times New Roman"/>
          <w:b/>
          <w:bCs/>
          <w:sz w:val="28"/>
          <w:szCs w:val="28"/>
        </w:rPr>
        <w:t xml:space="preserve">Commitment </w:t>
      </w:r>
      <w:r>
        <w:rPr>
          <w:rFonts w:ascii="Times New Roman" w:hAnsi="Times New Roman" w:cs="Times New Roman"/>
          <w:sz w:val="28"/>
          <w:szCs w:val="28"/>
        </w:rPr>
        <w:t>- AMAC logistics office commits to include an allocation for public engagement (like radio projects, training, and town hall meetings) in the budget for the year 2024.</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tbl>
      <w:tblPr>
        <w:tblStyle w:val="4"/>
        <w:tblpPr w:leftFromText="180" w:rightFromText="180" w:vertAnchor="text" w:horzAnchor="margin" w:tblpX="562" w:tblpY="8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1750"/>
        <w:gridCol w:w="1565"/>
        <w:gridCol w:w="1410"/>
        <w:gridCol w:w="1875"/>
        <w:gridCol w:w="210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tcPr>
          <w:p>
            <w:pPr>
              <w:spacing w:after="0" w:line="240" w:lineRule="auto"/>
            </w:pPr>
            <w:r>
              <w:rPr>
                <w:rFonts w:ascii="Times New Roman" w:hAnsi="Times New Roman" w:eastAsia="Proxima Nova" w:cs="Times New Roman"/>
                <w:b/>
                <w:i/>
                <w:color w:val="000000"/>
                <w:sz w:val="28"/>
                <w:szCs w:val="28"/>
              </w:rPr>
              <w:t>Describe the output</w:t>
            </w:r>
          </w:p>
        </w:tc>
        <w:tc>
          <w:tcPr>
            <w:tcW w:w="2786" w:type="dxa"/>
          </w:tcPr>
          <w:p>
            <w:pPr>
              <w:spacing w:after="0" w:line="240" w:lineRule="auto"/>
            </w:pPr>
            <w:r>
              <w:rPr>
                <w:rFonts w:ascii="Times New Roman" w:hAnsi="Times New Roman" w:eastAsia="Proxima Nova" w:cs="Times New Roman"/>
                <w:b/>
                <w:i/>
                <w:color w:val="000000"/>
                <w:sz w:val="28"/>
                <w:szCs w:val="28"/>
              </w:rPr>
              <w:t>Activities</w:t>
            </w:r>
          </w:p>
        </w:tc>
        <w:tc>
          <w:tcPr>
            <w:tcW w:w="746" w:type="dxa"/>
          </w:tcPr>
          <w:p>
            <w:pPr>
              <w:spacing w:after="0" w:line="240" w:lineRule="auto"/>
              <w:jc w:val="center"/>
              <w:rPr>
                <w:rFonts w:ascii="Times New Roman" w:hAnsi="Times New Roman" w:eastAsia="Proxima Nova" w:cs="Times New Roman"/>
                <w:b/>
                <w:i/>
                <w:color w:val="000000"/>
                <w:sz w:val="28"/>
                <w:szCs w:val="28"/>
              </w:rPr>
            </w:pPr>
            <w:r>
              <w:rPr>
                <w:rFonts w:ascii="Times New Roman" w:hAnsi="Times New Roman" w:eastAsia="Proxima Nova" w:cs="Times New Roman"/>
                <w:b/>
                <w:i/>
                <w:color w:val="000000"/>
                <w:sz w:val="28"/>
                <w:szCs w:val="28"/>
              </w:rPr>
              <w:t xml:space="preserve">Start date </w:t>
            </w:r>
          </w:p>
          <w:p>
            <w:pPr>
              <w:spacing w:after="0" w:line="240" w:lineRule="auto"/>
            </w:pPr>
            <w:r>
              <w:rPr>
                <w:rFonts w:ascii="Times New Roman" w:hAnsi="Times New Roman" w:eastAsia="Proxima Nova" w:cs="Times New Roman"/>
                <w:b/>
                <w:i/>
                <w:color w:val="000000"/>
                <w:sz w:val="28"/>
                <w:szCs w:val="28"/>
              </w:rPr>
              <w:t>(</w:t>
            </w:r>
            <w:r>
              <w:rPr>
                <w:rFonts w:ascii="Times New Roman" w:hAnsi="Times New Roman" w:eastAsia="Proxima Nova" w:cs="Times New Roman"/>
                <w:i/>
                <w:color w:val="000000"/>
                <w:sz w:val="28"/>
                <w:szCs w:val="28"/>
              </w:rPr>
              <w:t>MM/YYYY</w:t>
            </w:r>
            <w:r>
              <w:rPr>
                <w:rFonts w:ascii="Times New Roman" w:hAnsi="Times New Roman" w:eastAsia="Proxima Nova" w:cs="Times New Roman"/>
                <w:b/>
                <w:i/>
                <w:color w:val="000000"/>
                <w:sz w:val="28"/>
                <w:szCs w:val="28"/>
              </w:rPr>
              <w:t>)</w:t>
            </w:r>
          </w:p>
        </w:tc>
        <w:tc>
          <w:tcPr>
            <w:tcW w:w="1665" w:type="dxa"/>
          </w:tcPr>
          <w:p>
            <w:pPr>
              <w:spacing w:after="0" w:line="240" w:lineRule="auto"/>
              <w:jc w:val="center"/>
              <w:rPr>
                <w:rFonts w:ascii="Times New Roman" w:hAnsi="Times New Roman" w:eastAsia="Proxima Nova" w:cs="Times New Roman"/>
                <w:b/>
                <w:i/>
                <w:color w:val="000000"/>
                <w:sz w:val="28"/>
                <w:szCs w:val="28"/>
              </w:rPr>
            </w:pPr>
            <w:r>
              <w:rPr>
                <w:rFonts w:ascii="Times New Roman" w:hAnsi="Times New Roman" w:eastAsia="Proxima Nova" w:cs="Times New Roman"/>
                <w:b/>
                <w:i/>
                <w:color w:val="000000"/>
                <w:sz w:val="28"/>
                <w:szCs w:val="28"/>
              </w:rPr>
              <w:t>End Date</w:t>
            </w:r>
          </w:p>
          <w:p>
            <w:pPr>
              <w:spacing w:after="0" w:line="240" w:lineRule="auto"/>
            </w:pPr>
            <w:r>
              <w:rPr>
                <w:rFonts w:ascii="Times New Roman" w:hAnsi="Times New Roman" w:eastAsia="Proxima Nova" w:cs="Times New Roman"/>
                <w:b/>
                <w:i/>
                <w:color w:val="000000"/>
                <w:sz w:val="28"/>
                <w:szCs w:val="28"/>
              </w:rPr>
              <w:t>(</w:t>
            </w:r>
            <w:r>
              <w:rPr>
                <w:rFonts w:ascii="Times New Roman" w:hAnsi="Times New Roman" w:eastAsia="Proxima Nova" w:cs="Times New Roman"/>
                <w:i/>
                <w:color w:val="000000"/>
                <w:sz w:val="28"/>
                <w:szCs w:val="28"/>
              </w:rPr>
              <w:t>MM/YYY</w:t>
            </w:r>
            <w:r>
              <w:rPr>
                <w:rFonts w:ascii="Times New Roman" w:hAnsi="Times New Roman" w:eastAsia="Proxima Nova" w:cs="Times New Roman"/>
                <w:b/>
                <w:i/>
                <w:color w:val="000000"/>
                <w:sz w:val="28"/>
                <w:szCs w:val="28"/>
              </w:rPr>
              <w:t>)</w:t>
            </w:r>
          </w:p>
        </w:tc>
        <w:tc>
          <w:tcPr>
            <w:tcW w:w="1790" w:type="dxa"/>
          </w:tcPr>
          <w:p>
            <w:pPr>
              <w:spacing w:after="0" w:line="240" w:lineRule="auto"/>
            </w:pPr>
            <w:r>
              <w:rPr>
                <w:rFonts w:ascii="Times New Roman" w:hAnsi="Times New Roman" w:eastAsia="Proxima Nova" w:cs="Times New Roman"/>
                <w:b/>
                <w:i/>
                <w:color w:val="000000"/>
                <w:sz w:val="28"/>
                <w:szCs w:val="28"/>
              </w:rPr>
              <w:t>Responsible Agency</w:t>
            </w:r>
          </w:p>
        </w:tc>
        <w:tc>
          <w:tcPr>
            <w:tcW w:w="1470" w:type="dxa"/>
          </w:tcPr>
          <w:p>
            <w:pPr>
              <w:spacing w:after="0" w:line="240" w:lineRule="auto"/>
            </w:pPr>
            <w:r>
              <w:rPr>
                <w:rFonts w:ascii="Times New Roman" w:hAnsi="Times New Roman" w:eastAsia="Proxima Nova" w:cs="Times New Roman"/>
                <w:b/>
                <w:i/>
                <w:color w:val="000000"/>
                <w:sz w:val="28"/>
                <w:szCs w:val="28"/>
              </w:rPr>
              <w:t>Contact person</w:t>
            </w:r>
          </w:p>
        </w:tc>
        <w:tc>
          <w:tcPr>
            <w:tcW w:w="1524" w:type="dxa"/>
          </w:tcPr>
          <w:p>
            <w:pPr>
              <w:spacing w:after="0" w:line="240" w:lineRule="auto"/>
              <w:rPr>
                <w:rFonts w:ascii="Times New Roman" w:hAnsi="Times New Roman" w:eastAsia="Proxima Nova" w:cs="Times New Roman"/>
                <w:b/>
                <w:i/>
                <w:color w:val="000000"/>
                <w:sz w:val="28"/>
                <w:szCs w:val="28"/>
              </w:rPr>
            </w:pPr>
            <w:r>
              <w:rPr>
                <w:rFonts w:ascii="Times New Roman" w:hAnsi="Times New Roman" w:eastAsia="Proxima Nova" w:cs="Times New Roman"/>
                <w:b/>
                <w:i/>
                <w:color w:val="000000"/>
                <w:sz w:val="28"/>
                <w:szCs w:val="28"/>
              </w:rPr>
              <w:t>Status</w:t>
            </w:r>
          </w:p>
          <w:p>
            <w:pPr>
              <w:spacing w:after="0" w:line="240" w:lineRule="auto"/>
              <w:rPr>
                <w:rFonts w:ascii="Times New Roman" w:hAnsi="Times New Roman" w:eastAsia="Proxima Nova" w:cs="Times New Roman"/>
                <w:b/>
                <w:i/>
                <w:color w:val="000000"/>
                <w:sz w:val="28"/>
                <w:szCs w:val="28"/>
              </w:rPr>
            </w:pPr>
            <w:r>
              <w:rPr>
                <w:rFonts w:ascii="Times New Roman" w:hAnsi="Times New Roman" w:eastAsia="Proxima Nova" w:cs="Times New Roman"/>
                <w:i/>
                <w:color w:val="000000"/>
                <w:sz w:val="28"/>
                <w:szCs w:val="28"/>
              </w:rPr>
              <w:t>Select from the following: Not started; in progress, stuck finished; incomplete.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tcPr>
          <w:p>
            <w:pPr>
              <w:spacing w:after="0" w:line="240" w:lineRule="auto"/>
            </w:pPr>
            <w:r>
              <w:rPr>
                <w:rFonts w:ascii="Times New Roman" w:hAnsi="Times New Roman" w:cs="Times New Roman"/>
                <w:sz w:val="28"/>
                <w:szCs w:val="28"/>
              </w:rPr>
              <w:t>1. To ensure proper understanding of the concept of open government within the Area Council by developing the knowledge capacity of the AMAC government administrators and strengthening the collaboration of CSOs and the Area Council for effective Monitoring and Evaluation.</w:t>
            </w:r>
          </w:p>
        </w:tc>
        <w:tc>
          <w:tcPr>
            <w:tcW w:w="27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a. Training of personnel under the works, legal, and logistics departments. (number of personals; 4 from works, 2 from legal, and 3 from logistics)</w:t>
            </w:r>
          </w:p>
          <w:p>
            <w:pPr>
              <w:spacing w:after="0" w:line="240" w:lineRule="auto"/>
              <w:rPr>
                <w:rFonts w:ascii="Times New Roman" w:hAnsi="Times New Roman" w:cs="Times New Roman"/>
                <w:sz w:val="28"/>
                <w:szCs w:val="28"/>
              </w:rPr>
            </w:pPr>
          </w:p>
          <w:p>
            <w:pPr>
              <w:spacing w:after="0" w:line="240" w:lineRule="auto"/>
            </w:pPr>
          </w:p>
        </w:tc>
        <w:tc>
          <w:tcPr>
            <w:tcW w:w="74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JUNE, 2023 </w:t>
            </w:r>
          </w:p>
        </w:tc>
        <w:tc>
          <w:tcPr>
            <w:tcW w:w="166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NOV. 2023</w:t>
            </w:r>
          </w:p>
        </w:tc>
        <w:tc>
          <w:tcPr>
            <w:tcW w:w="179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Open contracting </w:t>
            </w:r>
          </w:p>
        </w:tc>
        <w:tc>
          <w:tcPr>
            <w:tcW w:w="147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Ms. Andie </w:t>
            </w:r>
          </w:p>
        </w:tc>
        <w:tc>
          <w:tcPr>
            <w:tcW w:w="152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Not started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2. To increase awareness and promote citizens’ participation in the procurement process through the holding of dialogue meetings, media publicity, town hall meetings, and sensitization programs on public procurement.</w:t>
            </w:r>
          </w:p>
        </w:tc>
        <w:tc>
          <w:tcPr>
            <w:tcW w:w="27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a. Create a procurement calendar that will be designed by logistics to be made public.</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Town hall meeting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Press briefing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 Stakeholders Engagement </w:t>
            </w:r>
          </w:p>
          <w:p>
            <w:pPr>
              <w:spacing w:after="0" w:line="240" w:lineRule="auto"/>
              <w:rPr>
                <w:rFonts w:ascii="Times New Roman" w:hAnsi="Times New Roman" w:cs="Times New Roman"/>
                <w:sz w:val="28"/>
                <w:szCs w:val="28"/>
              </w:rPr>
            </w:pPr>
          </w:p>
        </w:tc>
        <w:tc>
          <w:tcPr>
            <w:tcW w:w="74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Dec 2023</w:t>
            </w:r>
          </w:p>
        </w:tc>
        <w:tc>
          <w:tcPr>
            <w:tcW w:w="166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March 2025</w:t>
            </w:r>
          </w:p>
        </w:tc>
        <w:tc>
          <w:tcPr>
            <w:tcW w:w="179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AMAC Steering Committee</w:t>
            </w:r>
          </w:p>
        </w:tc>
        <w:tc>
          <w:tcPr>
            <w:tcW w:w="147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OGP Secretariat </w:t>
            </w:r>
          </w:p>
        </w:tc>
        <w:tc>
          <w:tcPr>
            <w:tcW w:w="152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Not started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3. To ensure that the process of contracting/procurement is open to the public and that the criteria/requirement for qualification is accommodating and reasonably attainable to all including women and young people</w:t>
            </w:r>
          </w:p>
        </w:tc>
        <w:tc>
          <w:tcPr>
            <w:tcW w:w="27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a. Review the criteria for procurement to make sure it is gender sensitive</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Review procurement policies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Develop a soft copy of procurement criteria and qualification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Publish the procurement Criteria to all media platforms </w:t>
            </w:r>
          </w:p>
        </w:tc>
        <w:tc>
          <w:tcPr>
            <w:tcW w:w="74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Jan 2024</w:t>
            </w:r>
          </w:p>
        </w:tc>
        <w:tc>
          <w:tcPr>
            <w:tcW w:w="166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March 2025</w:t>
            </w:r>
          </w:p>
        </w:tc>
        <w:tc>
          <w:tcPr>
            <w:tcW w:w="179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AMAC STEERING COMMITTEE</w:t>
            </w:r>
          </w:p>
        </w:tc>
        <w:tc>
          <w:tcPr>
            <w:tcW w:w="147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OGP SECRETARIAT</w:t>
            </w:r>
          </w:p>
        </w:tc>
        <w:tc>
          <w:tcPr>
            <w:tcW w:w="152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NOT STARTED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 To modernize the procurement system by using digital tools such as websites, mobile apps, and online bidding platforms, that are user-friendly as well as social media platforms, TVs, and radios for publicity.</w:t>
            </w:r>
          </w:p>
        </w:tc>
        <w:tc>
          <w:tcPr>
            <w:tcW w:w="27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Digitalization of the procurement process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Training of staff on ICT </w:t>
            </w:r>
          </w:p>
        </w:tc>
        <w:tc>
          <w:tcPr>
            <w:tcW w:w="74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Jan. 2024</w:t>
            </w:r>
          </w:p>
        </w:tc>
        <w:tc>
          <w:tcPr>
            <w:tcW w:w="166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March 2025</w:t>
            </w:r>
          </w:p>
        </w:tc>
        <w:tc>
          <w:tcPr>
            <w:tcW w:w="179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CSOs Partners </w:t>
            </w:r>
          </w:p>
        </w:tc>
        <w:tc>
          <w:tcPr>
            <w:tcW w:w="147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OGP Secretariat </w:t>
            </w:r>
          </w:p>
        </w:tc>
        <w:tc>
          <w:tcPr>
            <w:tcW w:w="152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Not Started </w:t>
            </w:r>
          </w:p>
        </w:tc>
      </w:tr>
    </w:tbl>
    <w:p/>
    <w:sectPr>
      <w:pgSz w:w="15840" w:h="12240"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roxima Nova">
    <w:altName w:val="Tahoma"/>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NDIwsrS0NDQxNTdQ0lEKTi0uzszPAykwrAUAarwG/ywAAAA="/>
  </w:docVars>
  <w:rsids>
    <w:rsidRoot w:val="00C76BC3"/>
    <w:rsid w:val="0000269F"/>
    <w:rsid w:val="000258D1"/>
    <w:rsid w:val="001C6F54"/>
    <w:rsid w:val="00304B46"/>
    <w:rsid w:val="00311253"/>
    <w:rsid w:val="00495800"/>
    <w:rsid w:val="00A42AB4"/>
    <w:rsid w:val="00BB2A9F"/>
    <w:rsid w:val="00C76BC3"/>
    <w:rsid w:val="198A4369"/>
    <w:rsid w:val="271D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438</Words>
  <Characters>2500</Characters>
  <Lines>20</Lines>
  <Paragraphs>5</Paragraphs>
  <TotalTime>29</TotalTime>
  <ScaleCrop>false</ScaleCrop>
  <LinksUpToDate>false</LinksUpToDate>
  <CharactersWithSpaces>2933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2023-06-08T15:34:00Z</dcterms:created>
  <dc:creator>Microsoft account</dc:creator>
  <cp:lastModifiedBy>Abiodun Essiet</cp:lastModifiedBy>
  <dcterms:modified xsi:type="dcterms:W3CDTF">2024-01-04T12:08:59Z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2892465b-4850-4181-9395-a6b1bd90603d</vt:lpwstr>
  </property>
  <property fmtid="{D5CDD505-2E9C-101B-9397-08002B2CF9AE}" pid="3" name="KSOProductBuildVer">
    <vt:lpwstr>1033-12.2.0.13306</vt:lpwstr>
  </property>
  <property fmtid="{D5CDD505-2E9C-101B-9397-08002B2CF9AE}" pid="4" name="ICV">
    <vt:lpwstr>1846AEFBD79E4AD0B0D9900EA549232B_13</vt:lpwstr>
  </property>
</Properties>
</file>