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Three webinars were held to disseminate the culture of open government in the city halls, reaching approximately 600 people in 16 different municipalities in Santa Catarina. The mapping of open government  in the municipalities of Santa Catarina was also carried out, which identified the existence of 21 practices of transparency and social participation in 10 municipalities of the state. In addition, with the support of the Association of European Valley Municipalities (AMVE), Blumenau has already started the process of creating their own open government action plan. </w:t>
      </w:r>
    </w:p>
    <w:p w:rsidR="00000000" w:rsidDel="00000000" w:rsidP="00000000" w:rsidRDefault="00000000" w:rsidRPr="00000000" w14:paraId="00000002">
      <w:pPr>
        <w:widowControl w:val="0"/>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3">
      <w:pPr>
        <w:widowControl w:val="0"/>
        <w:spacing w:line="276"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During the execution, the coordinators of each project were instructed to update the status of the project in a system called </w:t>
      </w:r>
      <w:r w:rsidDel="00000000" w:rsidR="00000000" w:rsidRPr="00000000">
        <w:rPr>
          <w:rFonts w:ascii="Proxima Nova" w:cs="Proxima Nova" w:eastAsia="Proxima Nova" w:hAnsi="Proxima Nova"/>
          <w:i w:val="1"/>
          <w:rtl w:val="0"/>
        </w:rPr>
        <w:t xml:space="preserve">Projet SC</w:t>
      </w:r>
      <w:r w:rsidDel="00000000" w:rsidR="00000000" w:rsidRPr="00000000">
        <w:rPr>
          <w:rFonts w:ascii="Proxima Nova" w:cs="Proxima Nova" w:eastAsia="Proxima Nova" w:hAnsi="Proxima Nova"/>
          <w:rtl w:val="0"/>
        </w:rPr>
        <w:t xml:space="preserve">, which allowed online monitoring by any citizen:</w:t>
      </w:r>
    </w:p>
    <w:p w:rsidR="00000000" w:rsidDel="00000000" w:rsidP="00000000" w:rsidRDefault="00000000" w:rsidRPr="00000000" w14:paraId="00000004">
      <w:pPr>
        <w:widowControl w:val="0"/>
        <w:spacing w:line="276"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5">
      <w:pPr>
        <w:widowControl w:val="0"/>
        <w:spacing w:line="240" w:lineRule="auto"/>
        <w:jc w:val="both"/>
        <w:rPr/>
      </w:pPr>
      <w:hyperlink r:id="rId6">
        <w:r w:rsidDel="00000000" w:rsidR="00000000" w:rsidRPr="00000000">
          <w:rPr>
            <w:rFonts w:ascii="Proxima Nova" w:cs="Proxima Nova" w:eastAsia="Proxima Nova" w:hAnsi="Proxima Nova"/>
            <w:color w:val="4a86e8"/>
            <w:u w:val="single"/>
            <w:rtl w:val="0"/>
          </w:rPr>
          <w:t xml:space="preserve">https://www.projeta.sc.gov.br/detalhes_projeto_historia.html?id_projeto=9141</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ojeta.sc.gov.br/detalhes_projeto_historia.html?id_projeto=914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