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The satisfaction survey, resulting from the milestone "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Develop a methodology of public services evaluation, including basic criteria, evaluation cycles, and feedback for improvement and evaluation ranking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" increases the opportunities for participation and feedback.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hyperlink r:id="rId6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http://server03.pge.sc.gov.br/LegislacaoEstadual/2022/000005-009-0-2022-031.htm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The milestone "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Establish the public services users council set in Federal Law 13.460, from 2017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" will also expand the spaces to enforce social participation, feedback and citizen interaction with the public servants responsible for the services provided.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hyperlink r:id="rId7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https://doe.sea.sc.gov.br/index.php/download/18-08-2022-n-21838/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Proxima Nova" w:cs="Proxima Nova" w:eastAsia="Proxima Nova" w:hAnsi="Proxima Nov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Finally, the milestone related to the development of “</w:t>
      </w:r>
      <w:r w:rsidDel="00000000" w:rsidR="00000000" w:rsidRPr="00000000">
        <w:rPr>
          <w:rFonts w:ascii="Proxima Nova" w:cs="Proxima Nova" w:eastAsia="Proxima Nova" w:hAnsi="Proxima Nova"/>
          <w:b w:val="1"/>
          <w:rtl w:val="0"/>
        </w:rPr>
        <w:t xml:space="preserve">a methodology of public services evaluation, including basic criteria, evaluation cycles, and feedback for improvement and evaluation ranking</w:t>
      </w: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”, can serve as a tool to monitorate digital services and its quality standards based on citizen evaluations.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/>
      </w:pPr>
      <w:hyperlink r:id="rId8">
        <w:r w:rsidDel="00000000" w:rsidR="00000000" w:rsidRPr="00000000">
          <w:rPr>
            <w:rFonts w:ascii="Proxima Nova" w:cs="Proxima Nova" w:eastAsia="Proxima Nova" w:hAnsi="Proxima Nova"/>
            <w:color w:val="1155cc"/>
            <w:u w:val="single"/>
            <w:rtl w:val="0"/>
          </w:rPr>
          <w:t xml:space="preserve">http://server03.pge.sc.gov.br/LegislacaoEstadual/2022/000005-009-0-2022-031.htm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erver03.pge.sc.gov.br/LegislacaoEstadual/2022/000005-009-0-2022-031.htm" TargetMode="External"/><Relationship Id="rId7" Type="http://schemas.openxmlformats.org/officeDocument/2006/relationships/hyperlink" Target="https://doe.sea.sc.gov.br/index.php/download/18-08-2022-n-21838/" TargetMode="External"/><Relationship Id="rId8" Type="http://schemas.openxmlformats.org/officeDocument/2006/relationships/hyperlink" Target="http://server03.pge.sc.gov.br/LegislacaoEstadual/2022/000005-009-0-2022-031.ht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