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C5B3" w14:textId="6B7019F7" w:rsidR="00AD7BA1" w:rsidRDefault="00AD7BA1" w:rsidP="005056AC">
      <w:pPr>
        <w:pStyle w:val="Title"/>
      </w:pPr>
      <w:r>
        <w:rPr>
          <w:noProof/>
        </w:rPr>
        <w:drawing>
          <wp:anchor distT="0" distB="0" distL="114300" distR="114300" simplePos="0" relativeHeight="251658240" behindDoc="0" locked="0" layoutInCell="1" allowOverlap="1" wp14:anchorId="40939484" wp14:editId="370F725B">
            <wp:simplePos x="0" y="0"/>
            <wp:positionH relativeFrom="page">
              <wp:posOffset>193964</wp:posOffset>
            </wp:positionH>
            <wp:positionV relativeFrom="paragraph">
              <wp:posOffset>-826655</wp:posOffset>
            </wp:positionV>
            <wp:extent cx="4961467" cy="11421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1467" cy="11421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62AC03" w14:textId="77777777" w:rsidR="00AD7BA1" w:rsidRDefault="00AD7BA1" w:rsidP="005056AC">
      <w:pPr>
        <w:pStyle w:val="Title"/>
      </w:pPr>
    </w:p>
    <w:p w14:paraId="26F918B3" w14:textId="77777777" w:rsidR="00AD7BA1" w:rsidRDefault="00AD7BA1" w:rsidP="005056AC">
      <w:pPr>
        <w:pStyle w:val="Title"/>
      </w:pPr>
    </w:p>
    <w:p w14:paraId="29AE83F5" w14:textId="62C4CF04" w:rsidR="00AD7BA1" w:rsidRDefault="00AD7BA1" w:rsidP="005056AC">
      <w:pPr>
        <w:pStyle w:val="Title"/>
      </w:pPr>
    </w:p>
    <w:p w14:paraId="3346B9C6" w14:textId="3B51BB4B" w:rsidR="00BB38C0" w:rsidRDefault="00BB38C0" w:rsidP="00BB38C0"/>
    <w:p w14:paraId="498B0855" w14:textId="77777777" w:rsidR="00BB38C0" w:rsidRPr="00BB38C0" w:rsidRDefault="00BB38C0" w:rsidP="00BB38C0"/>
    <w:p w14:paraId="22AC9947" w14:textId="77777777" w:rsidR="00AD7BA1" w:rsidRDefault="00AD7BA1" w:rsidP="005056AC">
      <w:pPr>
        <w:pStyle w:val="Title"/>
      </w:pPr>
    </w:p>
    <w:p w14:paraId="370EC393" w14:textId="77777777" w:rsidR="00AD7BA1" w:rsidRDefault="00AD7BA1" w:rsidP="005056AC">
      <w:pPr>
        <w:pStyle w:val="Title"/>
      </w:pPr>
    </w:p>
    <w:p w14:paraId="41D592C6" w14:textId="77777777" w:rsidR="00AD7BA1" w:rsidRDefault="00AD7BA1" w:rsidP="005056AC">
      <w:pPr>
        <w:pStyle w:val="Title"/>
      </w:pPr>
    </w:p>
    <w:p w14:paraId="26EC9DE1" w14:textId="77777777" w:rsidR="001800A3" w:rsidRPr="00BB38C0" w:rsidRDefault="00AD7BA1" w:rsidP="005056AC">
      <w:pPr>
        <w:pStyle w:val="Title"/>
        <w:rPr>
          <w:sz w:val="46"/>
          <w:szCs w:val="46"/>
        </w:rPr>
      </w:pPr>
      <w:r w:rsidRPr="00BB38C0">
        <w:rPr>
          <w:sz w:val="46"/>
          <w:szCs w:val="46"/>
        </w:rPr>
        <w:t>Diffuser des standards d’interopérabilité :</w:t>
      </w:r>
      <w:r w:rsidR="001800A3" w:rsidRPr="00BB38C0">
        <w:rPr>
          <w:sz w:val="46"/>
          <w:szCs w:val="46"/>
        </w:rPr>
        <w:br/>
      </w:r>
      <w:r w:rsidRPr="00BB38C0">
        <w:rPr>
          <w:sz w:val="46"/>
          <w:szCs w:val="46"/>
        </w:rPr>
        <w:t>Atouts et contraintes des méta-organisations</w:t>
      </w:r>
    </w:p>
    <w:p w14:paraId="467D9A5C" w14:textId="48B8A0B7" w:rsidR="001800A3" w:rsidRPr="00F01526" w:rsidRDefault="00B6242C" w:rsidP="00B6242C">
      <w:pPr>
        <w:pStyle w:val="Title"/>
        <w:rPr>
          <w:b w:val="0"/>
          <w:bCs w:val="0"/>
          <w:sz w:val="32"/>
          <w:szCs w:val="32"/>
        </w:rPr>
      </w:pPr>
      <w:r w:rsidRPr="00F01526">
        <w:rPr>
          <w:b w:val="0"/>
          <w:bCs w:val="0"/>
          <w:sz w:val="32"/>
          <w:szCs w:val="32"/>
        </w:rPr>
        <w:t>Étude empirique menée dans le cadre du contrat</w:t>
      </w:r>
      <w:r w:rsidRPr="00F01526">
        <w:rPr>
          <w:b w:val="0"/>
          <w:bCs w:val="0"/>
          <w:sz w:val="32"/>
          <w:szCs w:val="32"/>
        </w:rPr>
        <w:br/>
      </w:r>
      <w:r w:rsidRPr="00F01526">
        <w:rPr>
          <w:sz w:val="32"/>
          <w:szCs w:val="32"/>
        </w:rPr>
        <w:t xml:space="preserve">Contribuer à l’élaboration du plan d’action </w:t>
      </w:r>
      <w:r w:rsidRPr="00F01526">
        <w:rPr>
          <w:sz w:val="32"/>
          <w:szCs w:val="32"/>
        </w:rPr>
        <w:br/>
        <w:t>en gouvernement ouvert 2023-2025</w:t>
      </w:r>
      <w:r w:rsidRPr="00F01526">
        <w:rPr>
          <w:sz w:val="32"/>
          <w:szCs w:val="32"/>
        </w:rPr>
        <w:br/>
      </w:r>
      <w:r w:rsidRPr="00F01526">
        <w:rPr>
          <w:b w:val="0"/>
          <w:bCs w:val="0"/>
          <w:sz w:val="32"/>
          <w:szCs w:val="32"/>
        </w:rPr>
        <w:t>SSDPI-160313184</w:t>
      </w:r>
    </w:p>
    <w:p w14:paraId="6DFA7B26" w14:textId="0A4C98C0" w:rsidR="00B6242C" w:rsidRDefault="00B6242C" w:rsidP="00B6242C"/>
    <w:p w14:paraId="378CBC77" w14:textId="2D26FC58" w:rsidR="00F01526" w:rsidRDefault="00F01526" w:rsidP="00B6242C"/>
    <w:p w14:paraId="4BAB9103" w14:textId="0FE70027" w:rsidR="00F01526" w:rsidRDefault="00F01526" w:rsidP="00B6242C"/>
    <w:p w14:paraId="3E9E6ADD" w14:textId="5E766392" w:rsidR="00B6242C" w:rsidRPr="00F01526" w:rsidRDefault="00B6242C" w:rsidP="00B6242C">
      <w:pPr>
        <w:rPr>
          <w:sz w:val="32"/>
          <w:szCs w:val="32"/>
        </w:rPr>
      </w:pPr>
    </w:p>
    <w:p w14:paraId="004288FB" w14:textId="77777777" w:rsidR="00F01526" w:rsidRPr="00152675" w:rsidRDefault="00B6242C" w:rsidP="00B6242C">
      <w:pPr>
        <w:jc w:val="center"/>
        <w:rPr>
          <w:b/>
          <w:bCs/>
          <w:sz w:val="32"/>
          <w:szCs w:val="32"/>
        </w:rPr>
      </w:pPr>
      <w:r w:rsidRPr="00152675">
        <w:rPr>
          <w:sz w:val="32"/>
          <w:szCs w:val="32"/>
        </w:rPr>
        <w:t>Louis Cousin</w:t>
      </w:r>
      <w:r w:rsidRPr="00152675">
        <w:rPr>
          <w:sz w:val="32"/>
          <w:szCs w:val="32"/>
        </w:rPr>
        <w:br/>
        <w:t>Luc K. Audebrand</w:t>
      </w:r>
      <w:r w:rsidRPr="00152675">
        <w:rPr>
          <w:sz w:val="32"/>
          <w:szCs w:val="32"/>
        </w:rPr>
        <w:br/>
        <w:t>Josianne Marsan</w:t>
      </w:r>
      <w:r w:rsidRPr="00152675">
        <w:rPr>
          <w:sz w:val="32"/>
          <w:szCs w:val="32"/>
        </w:rPr>
        <w:br/>
      </w:r>
      <w:r w:rsidRPr="00152675">
        <w:rPr>
          <w:sz w:val="32"/>
          <w:szCs w:val="32"/>
        </w:rPr>
        <w:br/>
      </w:r>
      <w:r w:rsidRPr="00152675">
        <w:rPr>
          <w:sz w:val="32"/>
          <w:szCs w:val="32"/>
        </w:rPr>
        <w:br/>
      </w:r>
    </w:p>
    <w:p w14:paraId="3655788B" w14:textId="6FF0B451" w:rsidR="00B6242C" w:rsidRPr="00F01526" w:rsidRDefault="00B6242C" w:rsidP="00B6242C">
      <w:pPr>
        <w:jc w:val="center"/>
        <w:rPr>
          <w:b/>
          <w:bCs/>
          <w:sz w:val="32"/>
          <w:szCs w:val="32"/>
        </w:rPr>
      </w:pPr>
      <w:proofErr w:type="spellStart"/>
      <w:r w:rsidRPr="00F01526">
        <w:rPr>
          <w:b/>
          <w:bCs/>
          <w:sz w:val="32"/>
          <w:szCs w:val="32"/>
        </w:rPr>
        <w:t>CeRTIA</w:t>
      </w:r>
      <w:proofErr w:type="spellEnd"/>
      <w:r w:rsidRPr="00F01526">
        <w:rPr>
          <w:b/>
          <w:bCs/>
          <w:sz w:val="32"/>
          <w:szCs w:val="32"/>
        </w:rPr>
        <w:t xml:space="preserve">, FSA </w:t>
      </w:r>
      <w:proofErr w:type="spellStart"/>
      <w:r w:rsidRPr="00F01526">
        <w:rPr>
          <w:b/>
          <w:bCs/>
          <w:sz w:val="32"/>
          <w:szCs w:val="32"/>
        </w:rPr>
        <w:t>ULaval</w:t>
      </w:r>
      <w:proofErr w:type="spellEnd"/>
      <w:r w:rsidRPr="00F01526">
        <w:rPr>
          <w:b/>
          <w:bCs/>
          <w:sz w:val="32"/>
          <w:szCs w:val="32"/>
        </w:rPr>
        <w:br/>
        <w:t>30 septembre 2022</w:t>
      </w:r>
    </w:p>
    <w:p w14:paraId="20879056" w14:textId="09DA59CF" w:rsidR="00661ABF" w:rsidRDefault="003C6470" w:rsidP="00F01526">
      <w:pPr>
        <w:pStyle w:val="Title"/>
        <w:rPr>
          <w:sz w:val="32"/>
          <w:szCs w:val="32"/>
        </w:rPr>
      </w:pPr>
      <w:r w:rsidRPr="003849CD">
        <w:br w:type="column"/>
      </w:r>
      <w:r w:rsidR="00F01526" w:rsidRPr="00B374E6">
        <w:rPr>
          <w:sz w:val="32"/>
          <w:szCs w:val="32"/>
        </w:rPr>
        <w:t xml:space="preserve">Diffuser des standards d’interopérabilité : </w:t>
      </w:r>
      <w:r w:rsidR="00B374E6">
        <w:rPr>
          <w:sz w:val="32"/>
          <w:szCs w:val="32"/>
        </w:rPr>
        <w:br/>
      </w:r>
      <w:r w:rsidR="00F01526" w:rsidRPr="00B374E6">
        <w:rPr>
          <w:sz w:val="32"/>
          <w:szCs w:val="32"/>
        </w:rPr>
        <w:t>Atouts et contraintes des méta-organisations</w:t>
      </w:r>
      <w:r w:rsidR="00F01526" w:rsidRPr="00B374E6">
        <w:rPr>
          <w:sz w:val="32"/>
          <w:szCs w:val="32"/>
        </w:rPr>
        <w:br/>
      </w:r>
      <w:r w:rsidR="007B621E" w:rsidRPr="00B374E6">
        <w:rPr>
          <w:sz w:val="32"/>
          <w:szCs w:val="32"/>
        </w:rPr>
        <w:t>Livrable 2 </w:t>
      </w:r>
      <w:r w:rsidR="00B374E6">
        <w:rPr>
          <w:sz w:val="32"/>
          <w:szCs w:val="32"/>
        </w:rPr>
        <w:t>–</w:t>
      </w:r>
      <w:r w:rsidR="007B621E" w:rsidRPr="00B374E6">
        <w:rPr>
          <w:sz w:val="32"/>
          <w:szCs w:val="32"/>
        </w:rPr>
        <w:t xml:space="preserve"> Étude empirique</w:t>
      </w:r>
    </w:p>
    <w:p w14:paraId="62C75162" w14:textId="42B0C91F" w:rsidR="00713ED1" w:rsidRDefault="00713ED1" w:rsidP="005B7F57"/>
    <w:p w14:paraId="363ECFA2" w14:textId="4F47D598" w:rsidR="00713ED1" w:rsidRDefault="00713ED1" w:rsidP="005B7F57"/>
    <w:p w14:paraId="11DA0FB3" w14:textId="77777777" w:rsidR="003849CD" w:rsidRDefault="003849CD" w:rsidP="005B7F57"/>
    <w:sdt>
      <w:sdtPr>
        <w:rPr>
          <w:rFonts w:asciiTheme="minorHAnsi" w:eastAsiaTheme="minorHAnsi" w:hAnsiTheme="minorHAnsi" w:cstheme="minorHAnsi"/>
          <w:b/>
          <w:bCs/>
          <w:color w:val="auto"/>
          <w:sz w:val="28"/>
          <w:szCs w:val="28"/>
          <w:lang w:val="fr-FR" w:eastAsia="en-US"/>
        </w:rPr>
        <w:id w:val="2037841700"/>
        <w:docPartObj>
          <w:docPartGallery w:val="Table of Contents"/>
          <w:docPartUnique/>
        </w:docPartObj>
      </w:sdtPr>
      <w:sdtEndPr>
        <w:rPr>
          <w:rFonts w:cstheme="minorBidi"/>
          <w:sz w:val="22"/>
          <w:szCs w:val="22"/>
        </w:rPr>
      </w:sdtEndPr>
      <w:sdtContent>
        <w:p w14:paraId="2275E78C" w14:textId="102D8106" w:rsidR="00B374E6" w:rsidRPr="00B374E6" w:rsidRDefault="00B374E6">
          <w:pPr>
            <w:pStyle w:val="TOCHeading"/>
            <w:rPr>
              <w:rFonts w:asciiTheme="minorHAnsi" w:hAnsiTheme="minorHAnsi" w:cstheme="minorHAnsi"/>
              <w:b/>
              <w:bCs/>
              <w:color w:val="auto"/>
              <w:sz w:val="28"/>
              <w:szCs w:val="28"/>
            </w:rPr>
          </w:pPr>
          <w:r w:rsidRPr="00B374E6">
            <w:rPr>
              <w:rFonts w:asciiTheme="minorHAnsi" w:hAnsiTheme="minorHAnsi" w:cstheme="minorHAnsi"/>
              <w:b/>
              <w:bCs/>
              <w:color w:val="auto"/>
              <w:sz w:val="28"/>
              <w:szCs w:val="28"/>
              <w:lang w:val="fr-FR"/>
            </w:rPr>
            <w:t>Table des matières</w:t>
          </w:r>
        </w:p>
        <w:p w14:paraId="6BBC7FFB" w14:textId="2DDF94AC" w:rsidR="00152675" w:rsidRDefault="003849CD">
          <w:pPr>
            <w:pStyle w:val="TOC1"/>
            <w:tabs>
              <w:tab w:val="left" w:pos="440"/>
              <w:tab w:val="right" w:leader="dot" w:pos="9394"/>
            </w:tabs>
            <w:rPr>
              <w:rFonts w:eastAsiaTheme="minorEastAsia"/>
              <w:noProof/>
              <w:lang w:eastAsia="fr-CA"/>
            </w:rPr>
          </w:pPr>
          <w:r>
            <w:fldChar w:fldCharType="begin"/>
          </w:r>
          <w:r>
            <w:instrText xml:space="preserve"> TOC \o "1-2" \h \z \u </w:instrText>
          </w:r>
          <w:r>
            <w:fldChar w:fldCharType="separate"/>
          </w:r>
          <w:hyperlink w:anchor="_Toc115454540" w:history="1">
            <w:r w:rsidR="00152675" w:rsidRPr="00D202D0">
              <w:rPr>
                <w:rStyle w:val="Hyperlink"/>
                <w:noProof/>
              </w:rPr>
              <w:t>1.</w:t>
            </w:r>
            <w:r w:rsidR="00152675">
              <w:rPr>
                <w:rFonts w:eastAsiaTheme="minorEastAsia"/>
                <w:noProof/>
                <w:lang w:eastAsia="fr-CA"/>
              </w:rPr>
              <w:tab/>
            </w:r>
            <w:r w:rsidR="00152675" w:rsidRPr="00D202D0">
              <w:rPr>
                <w:rStyle w:val="Hyperlink"/>
                <w:noProof/>
              </w:rPr>
              <w:t>Sommaire exécutif</w:t>
            </w:r>
            <w:r w:rsidR="00152675">
              <w:rPr>
                <w:noProof/>
                <w:webHidden/>
              </w:rPr>
              <w:tab/>
            </w:r>
            <w:r w:rsidR="00152675">
              <w:rPr>
                <w:noProof/>
                <w:webHidden/>
              </w:rPr>
              <w:fldChar w:fldCharType="begin"/>
            </w:r>
            <w:r w:rsidR="00152675">
              <w:rPr>
                <w:noProof/>
                <w:webHidden/>
              </w:rPr>
              <w:instrText xml:space="preserve"> PAGEREF _Toc115454540 \h </w:instrText>
            </w:r>
            <w:r w:rsidR="00152675">
              <w:rPr>
                <w:noProof/>
                <w:webHidden/>
              </w:rPr>
            </w:r>
            <w:r w:rsidR="00152675">
              <w:rPr>
                <w:noProof/>
                <w:webHidden/>
              </w:rPr>
              <w:fldChar w:fldCharType="separate"/>
            </w:r>
            <w:r w:rsidR="0019692E">
              <w:rPr>
                <w:noProof/>
                <w:webHidden/>
              </w:rPr>
              <w:t>3</w:t>
            </w:r>
            <w:r w:rsidR="00152675">
              <w:rPr>
                <w:noProof/>
                <w:webHidden/>
              </w:rPr>
              <w:fldChar w:fldCharType="end"/>
            </w:r>
          </w:hyperlink>
        </w:p>
        <w:p w14:paraId="39869E4B" w14:textId="3E45650E" w:rsidR="00152675" w:rsidRDefault="00B029F7">
          <w:pPr>
            <w:pStyle w:val="TOC1"/>
            <w:tabs>
              <w:tab w:val="left" w:pos="440"/>
              <w:tab w:val="right" w:leader="dot" w:pos="9394"/>
            </w:tabs>
            <w:rPr>
              <w:rFonts w:eastAsiaTheme="minorEastAsia"/>
              <w:noProof/>
              <w:lang w:eastAsia="fr-CA"/>
            </w:rPr>
          </w:pPr>
          <w:hyperlink w:anchor="_Toc115454541" w:history="1">
            <w:r w:rsidR="00152675" w:rsidRPr="00D202D0">
              <w:rPr>
                <w:rStyle w:val="Hyperlink"/>
                <w:noProof/>
              </w:rPr>
              <w:t>2.</w:t>
            </w:r>
            <w:r w:rsidR="00152675">
              <w:rPr>
                <w:rFonts w:eastAsiaTheme="minorEastAsia"/>
                <w:noProof/>
                <w:lang w:eastAsia="fr-CA"/>
              </w:rPr>
              <w:tab/>
            </w:r>
            <w:r w:rsidR="00152675" w:rsidRPr="00D202D0">
              <w:rPr>
                <w:rStyle w:val="Hyperlink"/>
                <w:noProof/>
              </w:rPr>
              <w:t>Objet de la recherche</w:t>
            </w:r>
            <w:r w:rsidR="00152675">
              <w:rPr>
                <w:noProof/>
                <w:webHidden/>
              </w:rPr>
              <w:tab/>
            </w:r>
            <w:r w:rsidR="00152675">
              <w:rPr>
                <w:noProof/>
                <w:webHidden/>
              </w:rPr>
              <w:fldChar w:fldCharType="begin"/>
            </w:r>
            <w:r w:rsidR="00152675">
              <w:rPr>
                <w:noProof/>
                <w:webHidden/>
              </w:rPr>
              <w:instrText xml:space="preserve"> PAGEREF _Toc115454541 \h </w:instrText>
            </w:r>
            <w:r w:rsidR="00152675">
              <w:rPr>
                <w:noProof/>
                <w:webHidden/>
              </w:rPr>
            </w:r>
            <w:r w:rsidR="00152675">
              <w:rPr>
                <w:noProof/>
                <w:webHidden/>
              </w:rPr>
              <w:fldChar w:fldCharType="separate"/>
            </w:r>
            <w:r w:rsidR="0019692E">
              <w:rPr>
                <w:noProof/>
                <w:webHidden/>
              </w:rPr>
              <w:t>5</w:t>
            </w:r>
            <w:r w:rsidR="00152675">
              <w:rPr>
                <w:noProof/>
                <w:webHidden/>
              </w:rPr>
              <w:fldChar w:fldCharType="end"/>
            </w:r>
          </w:hyperlink>
        </w:p>
        <w:p w14:paraId="7C73827A" w14:textId="7B942295" w:rsidR="00152675" w:rsidRDefault="00B029F7">
          <w:pPr>
            <w:pStyle w:val="TOC2"/>
            <w:tabs>
              <w:tab w:val="left" w:pos="880"/>
              <w:tab w:val="right" w:leader="dot" w:pos="9394"/>
            </w:tabs>
            <w:rPr>
              <w:rFonts w:eastAsiaTheme="minorEastAsia"/>
              <w:noProof/>
              <w:lang w:eastAsia="fr-CA"/>
            </w:rPr>
          </w:pPr>
          <w:hyperlink w:anchor="_Toc115454542" w:history="1">
            <w:r w:rsidR="00152675" w:rsidRPr="00D202D0">
              <w:rPr>
                <w:rStyle w:val="Hyperlink"/>
                <w:noProof/>
              </w:rPr>
              <w:t>2.1.</w:t>
            </w:r>
            <w:r w:rsidR="00152675">
              <w:rPr>
                <w:rFonts w:eastAsiaTheme="minorEastAsia"/>
                <w:noProof/>
                <w:lang w:eastAsia="fr-CA"/>
              </w:rPr>
              <w:tab/>
            </w:r>
            <w:r w:rsidR="00152675" w:rsidRPr="00D202D0">
              <w:rPr>
                <w:rStyle w:val="Hyperlink"/>
                <w:noProof/>
              </w:rPr>
              <w:t>Contexte du mandat</w:t>
            </w:r>
            <w:r w:rsidR="00152675">
              <w:rPr>
                <w:noProof/>
                <w:webHidden/>
              </w:rPr>
              <w:tab/>
            </w:r>
            <w:r w:rsidR="00152675">
              <w:rPr>
                <w:noProof/>
                <w:webHidden/>
              </w:rPr>
              <w:fldChar w:fldCharType="begin"/>
            </w:r>
            <w:r w:rsidR="00152675">
              <w:rPr>
                <w:noProof/>
                <w:webHidden/>
              </w:rPr>
              <w:instrText xml:space="preserve"> PAGEREF _Toc115454542 \h </w:instrText>
            </w:r>
            <w:r w:rsidR="00152675">
              <w:rPr>
                <w:noProof/>
                <w:webHidden/>
              </w:rPr>
            </w:r>
            <w:r w:rsidR="00152675">
              <w:rPr>
                <w:noProof/>
                <w:webHidden/>
              </w:rPr>
              <w:fldChar w:fldCharType="separate"/>
            </w:r>
            <w:r w:rsidR="0019692E">
              <w:rPr>
                <w:noProof/>
                <w:webHidden/>
              </w:rPr>
              <w:t>5</w:t>
            </w:r>
            <w:r w:rsidR="00152675">
              <w:rPr>
                <w:noProof/>
                <w:webHidden/>
              </w:rPr>
              <w:fldChar w:fldCharType="end"/>
            </w:r>
          </w:hyperlink>
        </w:p>
        <w:p w14:paraId="76617D59" w14:textId="4834E061" w:rsidR="00152675" w:rsidRDefault="00B029F7">
          <w:pPr>
            <w:pStyle w:val="TOC2"/>
            <w:tabs>
              <w:tab w:val="left" w:pos="880"/>
              <w:tab w:val="right" w:leader="dot" w:pos="9394"/>
            </w:tabs>
            <w:rPr>
              <w:rFonts w:eastAsiaTheme="minorEastAsia"/>
              <w:noProof/>
              <w:lang w:eastAsia="fr-CA"/>
            </w:rPr>
          </w:pPr>
          <w:hyperlink w:anchor="_Toc115454543" w:history="1">
            <w:r w:rsidR="00152675" w:rsidRPr="00D202D0">
              <w:rPr>
                <w:rStyle w:val="Hyperlink"/>
                <w:noProof/>
              </w:rPr>
              <w:t>2.2.</w:t>
            </w:r>
            <w:r w:rsidR="00152675">
              <w:rPr>
                <w:rFonts w:eastAsiaTheme="minorEastAsia"/>
                <w:noProof/>
                <w:lang w:eastAsia="fr-CA"/>
              </w:rPr>
              <w:tab/>
            </w:r>
            <w:r w:rsidR="00152675" w:rsidRPr="00D202D0">
              <w:rPr>
                <w:rStyle w:val="Hyperlink"/>
                <w:noProof/>
              </w:rPr>
              <w:t>Concepts et définitions</w:t>
            </w:r>
            <w:r w:rsidR="00152675">
              <w:rPr>
                <w:noProof/>
                <w:webHidden/>
              </w:rPr>
              <w:tab/>
            </w:r>
            <w:r w:rsidR="00152675">
              <w:rPr>
                <w:noProof/>
                <w:webHidden/>
              </w:rPr>
              <w:fldChar w:fldCharType="begin"/>
            </w:r>
            <w:r w:rsidR="00152675">
              <w:rPr>
                <w:noProof/>
                <w:webHidden/>
              </w:rPr>
              <w:instrText xml:space="preserve"> PAGEREF _Toc115454543 \h </w:instrText>
            </w:r>
            <w:r w:rsidR="00152675">
              <w:rPr>
                <w:noProof/>
                <w:webHidden/>
              </w:rPr>
            </w:r>
            <w:r w:rsidR="00152675">
              <w:rPr>
                <w:noProof/>
                <w:webHidden/>
              </w:rPr>
              <w:fldChar w:fldCharType="separate"/>
            </w:r>
            <w:r w:rsidR="0019692E">
              <w:rPr>
                <w:noProof/>
                <w:webHidden/>
              </w:rPr>
              <w:t>5</w:t>
            </w:r>
            <w:r w:rsidR="00152675">
              <w:rPr>
                <w:noProof/>
                <w:webHidden/>
              </w:rPr>
              <w:fldChar w:fldCharType="end"/>
            </w:r>
          </w:hyperlink>
        </w:p>
        <w:p w14:paraId="1512C96E" w14:textId="5AB24001" w:rsidR="00152675" w:rsidRDefault="00B029F7">
          <w:pPr>
            <w:pStyle w:val="TOC2"/>
            <w:tabs>
              <w:tab w:val="left" w:pos="880"/>
              <w:tab w:val="right" w:leader="dot" w:pos="9394"/>
            </w:tabs>
            <w:rPr>
              <w:rFonts w:eastAsiaTheme="minorEastAsia"/>
              <w:noProof/>
              <w:lang w:eastAsia="fr-CA"/>
            </w:rPr>
          </w:pPr>
          <w:hyperlink w:anchor="_Toc115454544" w:history="1">
            <w:r w:rsidR="00152675" w:rsidRPr="00D202D0">
              <w:rPr>
                <w:rStyle w:val="Hyperlink"/>
                <w:noProof/>
              </w:rPr>
              <w:t>2.3.</w:t>
            </w:r>
            <w:r w:rsidR="00152675">
              <w:rPr>
                <w:rFonts w:eastAsiaTheme="minorEastAsia"/>
                <w:noProof/>
                <w:lang w:eastAsia="fr-CA"/>
              </w:rPr>
              <w:tab/>
            </w:r>
            <w:r w:rsidR="00152675" w:rsidRPr="00D202D0">
              <w:rPr>
                <w:rStyle w:val="Hyperlink"/>
                <w:noProof/>
              </w:rPr>
              <w:t>Résultats de l’étude théorique et objectifs de l’étude empirique</w:t>
            </w:r>
            <w:r w:rsidR="00152675">
              <w:rPr>
                <w:noProof/>
                <w:webHidden/>
              </w:rPr>
              <w:tab/>
            </w:r>
            <w:r w:rsidR="00152675">
              <w:rPr>
                <w:noProof/>
                <w:webHidden/>
              </w:rPr>
              <w:fldChar w:fldCharType="begin"/>
            </w:r>
            <w:r w:rsidR="00152675">
              <w:rPr>
                <w:noProof/>
                <w:webHidden/>
              </w:rPr>
              <w:instrText xml:space="preserve"> PAGEREF _Toc115454544 \h </w:instrText>
            </w:r>
            <w:r w:rsidR="00152675">
              <w:rPr>
                <w:noProof/>
                <w:webHidden/>
              </w:rPr>
            </w:r>
            <w:r w:rsidR="00152675">
              <w:rPr>
                <w:noProof/>
                <w:webHidden/>
              </w:rPr>
              <w:fldChar w:fldCharType="separate"/>
            </w:r>
            <w:r w:rsidR="0019692E">
              <w:rPr>
                <w:noProof/>
                <w:webHidden/>
              </w:rPr>
              <w:t>7</w:t>
            </w:r>
            <w:r w:rsidR="00152675">
              <w:rPr>
                <w:noProof/>
                <w:webHidden/>
              </w:rPr>
              <w:fldChar w:fldCharType="end"/>
            </w:r>
          </w:hyperlink>
        </w:p>
        <w:p w14:paraId="0CC62B73" w14:textId="02083D5B" w:rsidR="00152675" w:rsidRDefault="00B029F7">
          <w:pPr>
            <w:pStyle w:val="TOC2"/>
            <w:tabs>
              <w:tab w:val="left" w:pos="880"/>
              <w:tab w:val="right" w:leader="dot" w:pos="9394"/>
            </w:tabs>
            <w:rPr>
              <w:rFonts w:eastAsiaTheme="minorEastAsia"/>
              <w:noProof/>
              <w:lang w:eastAsia="fr-CA"/>
            </w:rPr>
          </w:pPr>
          <w:hyperlink w:anchor="_Toc115454545" w:history="1">
            <w:r w:rsidR="00152675" w:rsidRPr="00D202D0">
              <w:rPr>
                <w:rStyle w:val="Hyperlink"/>
                <w:noProof/>
              </w:rPr>
              <w:t>2.4.</w:t>
            </w:r>
            <w:r w:rsidR="00152675">
              <w:rPr>
                <w:rFonts w:eastAsiaTheme="minorEastAsia"/>
                <w:noProof/>
                <w:lang w:eastAsia="fr-CA"/>
              </w:rPr>
              <w:tab/>
            </w:r>
            <w:r w:rsidR="00152675" w:rsidRPr="00D202D0">
              <w:rPr>
                <w:rStyle w:val="Hyperlink"/>
                <w:noProof/>
              </w:rPr>
              <w:t>Question de recherche</w:t>
            </w:r>
            <w:r w:rsidR="00152675">
              <w:rPr>
                <w:noProof/>
                <w:webHidden/>
              </w:rPr>
              <w:tab/>
            </w:r>
            <w:r w:rsidR="00152675">
              <w:rPr>
                <w:noProof/>
                <w:webHidden/>
              </w:rPr>
              <w:fldChar w:fldCharType="begin"/>
            </w:r>
            <w:r w:rsidR="00152675">
              <w:rPr>
                <w:noProof/>
                <w:webHidden/>
              </w:rPr>
              <w:instrText xml:space="preserve"> PAGEREF _Toc115454545 \h </w:instrText>
            </w:r>
            <w:r w:rsidR="00152675">
              <w:rPr>
                <w:noProof/>
                <w:webHidden/>
              </w:rPr>
            </w:r>
            <w:r w:rsidR="00152675">
              <w:rPr>
                <w:noProof/>
                <w:webHidden/>
              </w:rPr>
              <w:fldChar w:fldCharType="separate"/>
            </w:r>
            <w:r w:rsidR="0019692E">
              <w:rPr>
                <w:noProof/>
                <w:webHidden/>
              </w:rPr>
              <w:t>8</w:t>
            </w:r>
            <w:r w:rsidR="00152675">
              <w:rPr>
                <w:noProof/>
                <w:webHidden/>
              </w:rPr>
              <w:fldChar w:fldCharType="end"/>
            </w:r>
          </w:hyperlink>
        </w:p>
        <w:p w14:paraId="297D8DE1" w14:textId="3C70A88F" w:rsidR="00152675" w:rsidRDefault="00B029F7">
          <w:pPr>
            <w:pStyle w:val="TOC1"/>
            <w:tabs>
              <w:tab w:val="left" w:pos="440"/>
              <w:tab w:val="right" w:leader="dot" w:pos="9394"/>
            </w:tabs>
            <w:rPr>
              <w:rFonts w:eastAsiaTheme="minorEastAsia"/>
              <w:noProof/>
              <w:lang w:eastAsia="fr-CA"/>
            </w:rPr>
          </w:pPr>
          <w:hyperlink w:anchor="_Toc115454546" w:history="1">
            <w:r w:rsidR="00152675" w:rsidRPr="00D202D0">
              <w:rPr>
                <w:rStyle w:val="Hyperlink"/>
                <w:noProof/>
              </w:rPr>
              <w:t>3.</w:t>
            </w:r>
            <w:r w:rsidR="00152675">
              <w:rPr>
                <w:rFonts w:eastAsiaTheme="minorEastAsia"/>
                <w:noProof/>
                <w:lang w:eastAsia="fr-CA"/>
              </w:rPr>
              <w:tab/>
            </w:r>
            <w:r w:rsidR="00152675" w:rsidRPr="00D202D0">
              <w:rPr>
                <w:rStyle w:val="Hyperlink"/>
                <w:noProof/>
              </w:rPr>
              <w:t>Méthodologie</w:t>
            </w:r>
            <w:r w:rsidR="00152675">
              <w:rPr>
                <w:noProof/>
                <w:webHidden/>
              </w:rPr>
              <w:tab/>
            </w:r>
            <w:r w:rsidR="00152675">
              <w:rPr>
                <w:noProof/>
                <w:webHidden/>
              </w:rPr>
              <w:fldChar w:fldCharType="begin"/>
            </w:r>
            <w:r w:rsidR="00152675">
              <w:rPr>
                <w:noProof/>
                <w:webHidden/>
              </w:rPr>
              <w:instrText xml:space="preserve"> PAGEREF _Toc115454546 \h </w:instrText>
            </w:r>
            <w:r w:rsidR="00152675">
              <w:rPr>
                <w:noProof/>
                <w:webHidden/>
              </w:rPr>
            </w:r>
            <w:r w:rsidR="00152675">
              <w:rPr>
                <w:noProof/>
                <w:webHidden/>
              </w:rPr>
              <w:fldChar w:fldCharType="separate"/>
            </w:r>
            <w:r w:rsidR="0019692E">
              <w:rPr>
                <w:noProof/>
                <w:webHidden/>
              </w:rPr>
              <w:t>8</w:t>
            </w:r>
            <w:r w:rsidR="00152675">
              <w:rPr>
                <w:noProof/>
                <w:webHidden/>
              </w:rPr>
              <w:fldChar w:fldCharType="end"/>
            </w:r>
          </w:hyperlink>
        </w:p>
        <w:p w14:paraId="50B8C5EE" w14:textId="3447C64F" w:rsidR="00152675" w:rsidRDefault="00B029F7">
          <w:pPr>
            <w:pStyle w:val="TOC2"/>
            <w:tabs>
              <w:tab w:val="left" w:pos="880"/>
              <w:tab w:val="right" w:leader="dot" w:pos="9394"/>
            </w:tabs>
            <w:rPr>
              <w:rFonts w:eastAsiaTheme="minorEastAsia"/>
              <w:noProof/>
              <w:lang w:eastAsia="fr-CA"/>
            </w:rPr>
          </w:pPr>
          <w:hyperlink w:anchor="_Toc115454547" w:history="1">
            <w:r w:rsidR="00152675" w:rsidRPr="00D202D0">
              <w:rPr>
                <w:rStyle w:val="Hyperlink"/>
                <w:noProof/>
              </w:rPr>
              <w:t>3.1.</w:t>
            </w:r>
            <w:r w:rsidR="00152675">
              <w:rPr>
                <w:rFonts w:eastAsiaTheme="minorEastAsia"/>
                <w:noProof/>
                <w:lang w:eastAsia="fr-CA"/>
              </w:rPr>
              <w:tab/>
            </w:r>
            <w:r w:rsidR="00152675" w:rsidRPr="00D202D0">
              <w:rPr>
                <w:rStyle w:val="Hyperlink"/>
                <w:noProof/>
              </w:rPr>
              <w:t>Design de la recherche</w:t>
            </w:r>
            <w:r w:rsidR="00152675">
              <w:rPr>
                <w:noProof/>
                <w:webHidden/>
              </w:rPr>
              <w:tab/>
            </w:r>
            <w:r w:rsidR="00152675">
              <w:rPr>
                <w:noProof/>
                <w:webHidden/>
              </w:rPr>
              <w:fldChar w:fldCharType="begin"/>
            </w:r>
            <w:r w:rsidR="00152675">
              <w:rPr>
                <w:noProof/>
                <w:webHidden/>
              </w:rPr>
              <w:instrText xml:space="preserve"> PAGEREF _Toc115454547 \h </w:instrText>
            </w:r>
            <w:r w:rsidR="00152675">
              <w:rPr>
                <w:noProof/>
                <w:webHidden/>
              </w:rPr>
            </w:r>
            <w:r w:rsidR="00152675">
              <w:rPr>
                <w:noProof/>
                <w:webHidden/>
              </w:rPr>
              <w:fldChar w:fldCharType="separate"/>
            </w:r>
            <w:r w:rsidR="0019692E">
              <w:rPr>
                <w:noProof/>
                <w:webHidden/>
              </w:rPr>
              <w:t>8</w:t>
            </w:r>
            <w:r w:rsidR="00152675">
              <w:rPr>
                <w:noProof/>
                <w:webHidden/>
              </w:rPr>
              <w:fldChar w:fldCharType="end"/>
            </w:r>
          </w:hyperlink>
        </w:p>
        <w:p w14:paraId="5B8E2974" w14:textId="610E3C84" w:rsidR="00152675" w:rsidRDefault="00B029F7">
          <w:pPr>
            <w:pStyle w:val="TOC2"/>
            <w:tabs>
              <w:tab w:val="left" w:pos="880"/>
              <w:tab w:val="right" w:leader="dot" w:pos="9394"/>
            </w:tabs>
            <w:rPr>
              <w:rFonts w:eastAsiaTheme="minorEastAsia"/>
              <w:noProof/>
              <w:lang w:eastAsia="fr-CA"/>
            </w:rPr>
          </w:pPr>
          <w:hyperlink w:anchor="_Toc115454548" w:history="1">
            <w:r w:rsidR="00152675" w:rsidRPr="00D202D0">
              <w:rPr>
                <w:rStyle w:val="Hyperlink"/>
                <w:noProof/>
              </w:rPr>
              <w:t>3.2.</w:t>
            </w:r>
            <w:r w:rsidR="00152675">
              <w:rPr>
                <w:rFonts w:eastAsiaTheme="minorEastAsia"/>
                <w:noProof/>
                <w:lang w:eastAsia="fr-CA"/>
              </w:rPr>
              <w:tab/>
            </w:r>
            <w:r w:rsidR="00152675" w:rsidRPr="00D202D0">
              <w:rPr>
                <w:rStyle w:val="Hyperlink"/>
                <w:noProof/>
              </w:rPr>
              <w:t>Sélection des cas</w:t>
            </w:r>
            <w:r w:rsidR="00152675">
              <w:rPr>
                <w:noProof/>
                <w:webHidden/>
              </w:rPr>
              <w:tab/>
            </w:r>
            <w:r w:rsidR="00152675">
              <w:rPr>
                <w:noProof/>
                <w:webHidden/>
              </w:rPr>
              <w:fldChar w:fldCharType="begin"/>
            </w:r>
            <w:r w:rsidR="00152675">
              <w:rPr>
                <w:noProof/>
                <w:webHidden/>
              </w:rPr>
              <w:instrText xml:space="preserve"> PAGEREF _Toc115454548 \h </w:instrText>
            </w:r>
            <w:r w:rsidR="00152675">
              <w:rPr>
                <w:noProof/>
                <w:webHidden/>
              </w:rPr>
            </w:r>
            <w:r w:rsidR="00152675">
              <w:rPr>
                <w:noProof/>
                <w:webHidden/>
              </w:rPr>
              <w:fldChar w:fldCharType="separate"/>
            </w:r>
            <w:r w:rsidR="0019692E">
              <w:rPr>
                <w:noProof/>
                <w:webHidden/>
              </w:rPr>
              <w:t>9</w:t>
            </w:r>
            <w:r w:rsidR="00152675">
              <w:rPr>
                <w:noProof/>
                <w:webHidden/>
              </w:rPr>
              <w:fldChar w:fldCharType="end"/>
            </w:r>
          </w:hyperlink>
        </w:p>
        <w:p w14:paraId="77D939DA" w14:textId="0AF7A5F3" w:rsidR="00152675" w:rsidRDefault="00B029F7">
          <w:pPr>
            <w:pStyle w:val="TOC2"/>
            <w:tabs>
              <w:tab w:val="left" w:pos="880"/>
              <w:tab w:val="right" w:leader="dot" w:pos="9394"/>
            </w:tabs>
            <w:rPr>
              <w:rFonts w:eastAsiaTheme="minorEastAsia"/>
              <w:noProof/>
              <w:lang w:eastAsia="fr-CA"/>
            </w:rPr>
          </w:pPr>
          <w:hyperlink w:anchor="_Toc115454549" w:history="1">
            <w:r w:rsidR="00152675" w:rsidRPr="00D202D0">
              <w:rPr>
                <w:rStyle w:val="Hyperlink"/>
                <w:noProof/>
              </w:rPr>
              <w:t>3.3.</w:t>
            </w:r>
            <w:r w:rsidR="00152675">
              <w:rPr>
                <w:rFonts w:eastAsiaTheme="minorEastAsia"/>
                <w:noProof/>
                <w:lang w:eastAsia="fr-CA"/>
              </w:rPr>
              <w:tab/>
            </w:r>
            <w:r w:rsidR="00152675" w:rsidRPr="00D202D0">
              <w:rPr>
                <w:rStyle w:val="Hyperlink"/>
                <w:noProof/>
              </w:rPr>
              <w:t>Collecte et analyse de données</w:t>
            </w:r>
            <w:r w:rsidR="00152675">
              <w:rPr>
                <w:noProof/>
                <w:webHidden/>
              </w:rPr>
              <w:tab/>
            </w:r>
            <w:r w:rsidR="00152675">
              <w:rPr>
                <w:noProof/>
                <w:webHidden/>
              </w:rPr>
              <w:fldChar w:fldCharType="begin"/>
            </w:r>
            <w:r w:rsidR="00152675">
              <w:rPr>
                <w:noProof/>
                <w:webHidden/>
              </w:rPr>
              <w:instrText xml:space="preserve"> PAGEREF _Toc115454549 \h </w:instrText>
            </w:r>
            <w:r w:rsidR="00152675">
              <w:rPr>
                <w:noProof/>
                <w:webHidden/>
              </w:rPr>
            </w:r>
            <w:r w:rsidR="00152675">
              <w:rPr>
                <w:noProof/>
                <w:webHidden/>
              </w:rPr>
              <w:fldChar w:fldCharType="separate"/>
            </w:r>
            <w:r w:rsidR="0019692E">
              <w:rPr>
                <w:noProof/>
                <w:webHidden/>
              </w:rPr>
              <w:t>9</w:t>
            </w:r>
            <w:r w:rsidR="00152675">
              <w:rPr>
                <w:noProof/>
                <w:webHidden/>
              </w:rPr>
              <w:fldChar w:fldCharType="end"/>
            </w:r>
          </w:hyperlink>
        </w:p>
        <w:p w14:paraId="638D63EB" w14:textId="50A968FB" w:rsidR="00152675" w:rsidRDefault="00B029F7">
          <w:pPr>
            <w:pStyle w:val="TOC2"/>
            <w:tabs>
              <w:tab w:val="left" w:pos="880"/>
              <w:tab w:val="right" w:leader="dot" w:pos="9394"/>
            </w:tabs>
            <w:rPr>
              <w:rFonts w:eastAsiaTheme="minorEastAsia"/>
              <w:noProof/>
              <w:lang w:eastAsia="fr-CA"/>
            </w:rPr>
          </w:pPr>
          <w:hyperlink w:anchor="_Toc115454550" w:history="1">
            <w:r w:rsidR="00152675" w:rsidRPr="00D202D0">
              <w:rPr>
                <w:rStyle w:val="Hyperlink"/>
                <w:noProof/>
              </w:rPr>
              <w:t>3.4.</w:t>
            </w:r>
            <w:r w:rsidR="00152675">
              <w:rPr>
                <w:rFonts w:eastAsiaTheme="minorEastAsia"/>
                <w:noProof/>
                <w:lang w:eastAsia="fr-CA"/>
              </w:rPr>
              <w:tab/>
            </w:r>
            <w:r w:rsidR="00152675" w:rsidRPr="00D202D0">
              <w:rPr>
                <w:rStyle w:val="Hyperlink"/>
                <w:noProof/>
              </w:rPr>
              <w:t>Qualité de la recherche</w:t>
            </w:r>
            <w:r w:rsidR="00152675">
              <w:rPr>
                <w:noProof/>
                <w:webHidden/>
              </w:rPr>
              <w:tab/>
            </w:r>
            <w:r w:rsidR="00152675">
              <w:rPr>
                <w:noProof/>
                <w:webHidden/>
              </w:rPr>
              <w:fldChar w:fldCharType="begin"/>
            </w:r>
            <w:r w:rsidR="00152675">
              <w:rPr>
                <w:noProof/>
                <w:webHidden/>
              </w:rPr>
              <w:instrText xml:space="preserve"> PAGEREF _Toc115454550 \h </w:instrText>
            </w:r>
            <w:r w:rsidR="00152675">
              <w:rPr>
                <w:noProof/>
                <w:webHidden/>
              </w:rPr>
            </w:r>
            <w:r w:rsidR="00152675">
              <w:rPr>
                <w:noProof/>
                <w:webHidden/>
              </w:rPr>
              <w:fldChar w:fldCharType="separate"/>
            </w:r>
            <w:r w:rsidR="0019692E">
              <w:rPr>
                <w:noProof/>
                <w:webHidden/>
              </w:rPr>
              <w:t>10</w:t>
            </w:r>
            <w:r w:rsidR="00152675">
              <w:rPr>
                <w:noProof/>
                <w:webHidden/>
              </w:rPr>
              <w:fldChar w:fldCharType="end"/>
            </w:r>
          </w:hyperlink>
        </w:p>
        <w:p w14:paraId="423F14CC" w14:textId="709D89B4" w:rsidR="00152675" w:rsidRDefault="00B029F7">
          <w:pPr>
            <w:pStyle w:val="TOC1"/>
            <w:tabs>
              <w:tab w:val="left" w:pos="440"/>
              <w:tab w:val="right" w:leader="dot" w:pos="9394"/>
            </w:tabs>
            <w:rPr>
              <w:rFonts w:eastAsiaTheme="minorEastAsia"/>
              <w:noProof/>
              <w:lang w:eastAsia="fr-CA"/>
            </w:rPr>
          </w:pPr>
          <w:hyperlink w:anchor="_Toc115454551" w:history="1">
            <w:r w:rsidR="00152675" w:rsidRPr="00D202D0">
              <w:rPr>
                <w:rStyle w:val="Hyperlink"/>
                <w:noProof/>
              </w:rPr>
              <w:t>4.</w:t>
            </w:r>
            <w:r w:rsidR="00152675">
              <w:rPr>
                <w:rFonts w:eastAsiaTheme="minorEastAsia"/>
                <w:noProof/>
                <w:lang w:eastAsia="fr-CA"/>
              </w:rPr>
              <w:tab/>
            </w:r>
            <w:r w:rsidR="00152675" w:rsidRPr="00D202D0">
              <w:rPr>
                <w:rStyle w:val="Hyperlink"/>
                <w:noProof/>
              </w:rPr>
              <w:t>Résultats</w:t>
            </w:r>
            <w:r w:rsidR="00152675">
              <w:rPr>
                <w:noProof/>
                <w:webHidden/>
              </w:rPr>
              <w:tab/>
            </w:r>
            <w:r w:rsidR="00152675">
              <w:rPr>
                <w:noProof/>
                <w:webHidden/>
              </w:rPr>
              <w:fldChar w:fldCharType="begin"/>
            </w:r>
            <w:r w:rsidR="00152675">
              <w:rPr>
                <w:noProof/>
                <w:webHidden/>
              </w:rPr>
              <w:instrText xml:space="preserve"> PAGEREF _Toc115454551 \h </w:instrText>
            </w:r>
            <w:r w:rsidR="00152675">
              <w:rPr>
                <w:noProof/>
                <w:webHidden/>
              </w:rPr>
            </w:r>
            <w:r w:rsidR="00152675">
              <w:rPr>
                <w:noProof/>
                <w:webHidden/>
              </w:rPr>
              <w:fldChar w:fldCharType="separate"/>
            </w:r>
            <w:r w:rsidR="0019692E">
              <w:rPr>
                <w:noProof/>
                <w:webHidden/>
              </w:rPr>
              <w:t>10</w:t>
            </w:r>
            <w:r w:rsidR="00152675">
              <w:rPr>
                <w:noProof/>
                <w:webHidden/>
              </w:rPr>
              <w:fldChar w:fldCharType="end"/>
            </w:r>
          </w:hyperlink>
        </w:p>
        <w:p w14:paraId="090DBB91" w14:textId="187BC6AD" w:rsidR="00152675" w:rsidRDefault="00B029F7">
          <w:pPr>
            <w:pStyle w:val="TOC2"/>
            <w:tabs>
              <w:tab w:val="left" w:pos="880"/>
              <w:tab w:val="right" w:leader="dot" w:pos="9394"/>
            </w:tabs>
            <w:rPr>
              <w:rFonts w:eastAsiaTheme="minorEastAsia"/>
              <w:noProof/>
              <w:lang w:eastAsia="fr-CA"/>
            </w:rPr>
          </w:pPr>
          <w:hyperlink w:anchor="_Toc115454552" w:history="1">
            <w:r w:rsidR="00152675" w:rsidRPr="00D202D0">
              <w:rPr>
                <w:rStyle w:val="Hyperlink"/>
                <w:noProof/>
              </w:rPr>
              <w:t>4.1.</w:t>
            </w:r>
            <w:r w:rsidR="00152675">
              <w:rPr>
                <w:rFonts w:eastAsiaTheme="minorEastAsia"/>
                <w:noProof/>
                <w:lang w:eastAsia="fr-CA"/>
              </w:rPr>
              <w:tab/>
            </w:r>
            <w:r w:rsidR="00152675" w:rsidRPr="00D202D0">
              <w:rPr>
                <w:rStyle w:val="Hyperlink"/>
                <w:noProof/>
              </w:rPr>
              <w:t>Les raisons motivant l’émergence d’un SIIO</w:t>
            </w:r>
            <w:r w:rsidR="00152675">
              <w:rPr>
                <w:noProof/>
                <w:webHidden/>
              </w:rPr>
              <w:tab/>
            </w:r>
            <w:r w:rsidR="00152675">
              <w:rPr>
                <w:noProof/>
                <w:webHidden/>
              </w:rPr>
              <w:fldChar w:fldCharType="begin"/>
            </w:r>
            <w:r w:rsidR="00152675">
              <w:rPr>
                <w:noProof/>
                <w:webHidden/>
              </w:rPr>
              <w:instrText xml:space="preserve"> PAGEREF _Toc115454552 \h </w:instrText>
            </w:r>
            <w:r w:rsidR="00152675">
              <w:rPr>
                <w:noProof/>
                <w:webHidden/>
              </w:rPr>
            </w:r>
            <w:r w:rsidR="00152675">
              <w:rPr>
                <w:noProof/>
                <w:webHidden/>
              </w:rPr>
              <w:fldChar w:fldCharType="separate"/>
            </w:r>
            <w:r w:rsidR="0019692E">
              <w:rPr>
                <w:noProof/>
                <w:webHidden/>
              </w:rPr>
              <w:t>10</w:t>
            </w:r>
            <w:r w:rsidR="00152675">
              <w:rPr>
                <w:noProof/>
                <w:webHidden/>
              </w:rPr>
              <w:fldChar w:fldCharType="end"/>
            </w:r>
          </w:hyperlink>
        </w:p>
        <w:p w14:paraId="6EE15AE7" w14:textId="0E11BA07" w:rsidR="00152675" w:rsidRDefault="00B029F7">
          <w:pPr>
            <w:pStyle w:val="TOC2"/>
            <w:tabs>
              <w:tab w:val="left" w:pos="880"/>
              <w:tab w:val="right" w:leader="dot" w:pos="9394"/>
            </w:tabs>
            <w:rPr>
              <w:rFonts w:eastAsiaTheme="minorEastAsia"/>
              <w:noProof/>
              <w:lang w:eastAsia="fr-CA"/>
            </w:rPr>
          </w:pPr>
          <w:hyperlink w:anchor="_Toc115454553" w:history="1">
            <w:r w:rsidR="00152675" w:rsidRPr="00D202D0">
              <w:rPr>
                <w:rStyle w:val="Hyperlink"/>
                <w:noProof/>
              </w:rPr>
              <w:t>4.2.</w:t>
            </w:r>
            <w:r w:rsidR="00152675">
              <w:rPr>
                <w:rFonts w:eastAsiaTheme="minorEastAsia"/>
                <w:noProof/>
                <w:lang w:eastAsia="fr-CA"/>
              </w:rPr>
              <w:tab/>
            </w:r>
            <w:r w:rsidR="00152675" w:rsidRPr="00D202D0">
              <w:rPr>
                <w:rStyle w:val="Hyperlink"/>
                <w:noProof/>
              </w:rPr>
              <w:t>Atouts des méta-organisations pour l’établissement de SIIO</w:t>
            </w:r>
            <w:r w:rsidR="00152675">
              <w:rPr>
                <w:noProof/>
                <w:webHidden/>
              </w:rPr>
              <w:tab/>
            </w:r>
            <w:r w:rsidR="00152675">
              <w:rPr>
                <w:noProof/>
                <w:webHidden/>
              </w:rPr>
              <w:fldChar w:fldCharType="begin"/>
            </w:r>
            <w:r w:rsidR="00152675">
              <w:rPr>
                <w:noProof/>
                <w:webHidden/>
              </w:rPr>
              <w:instrText xml:space="preserve"> PAGEREF _Toc115454553 \h </w:instrText>
            </w:r>
            <w:r w:rsidR="00152675">
              <w:rPr>
                <w:noProof/>
                <w:webHidden/>
              </w:rPr>
            </w:r>
            <w:r w:rsidR="00152675">
              <w:rPr>
                <w:noProof/>
                <w:webHidden/>
              </w:rPr>
              <w:fldChar w:fldCharType="separate"/>
            </w:r>
            <w:r w:rsidR="0019692E">
              <w:rPr>
                <w:noProof/>
                <w:webHidden/>
              </w:rPr>
              <w:t>12</w:t>
            </w:r>
            <w:r w:rsidR="00152675">
              <w:rPr>
                <w:noProof/>
                <w:webHidden/>
              </w:rPr>
              <w:fldChar w:fldCharType="end"/>
            </w:r>
          </w:hyperlink>
        </w:p>
        <w:p w14:paraId="566936B8" w14:textId="0674C69B" w:rsidR="00152675" w:rsidRDefault="00B029F7">
          <w:pPr>
            <w:pStyle w:val="TOC2"/>
            <w:tabs>
              <w:tab w:val="left" w:pos="880"/>
              <w:tab w:val="right" w:leader="dot" w:pos="9394"/>
            </w:tabs>
            <w:rPr>
              <w:rFonts w:eastAsiaTheme="minorEastAsia"/>
              <w:noProof/>
              <w:lang w:eastAsia="fr-CA"/>
            </w:rPr>
          </w:pPr>
          <w:hyperlink w:anchor="_Toc115454554" w:history="1">
            <w:r w:rsidR="00152675" w:rsidRPr="00D202D0">
              <w:rPr>
                <w:rStyle w:val="Hyperlink"/>
                <w:noProof/>
              </w:rPr>
              <w:t>4.3.</w:t>
            </w:r>
            <w:r w:rsidR="00152675">
              <w:rPr>
                <w:rFonts w:eastAsiaTheme="minorEastAsia"/>
                <w:noProof/>
                <w:lang w:eastAsia="fr-CA"/>
              </w:rPr>
              <w:tab/>
            </w:r>
            <w:r w:rsidR="00152675" w:rsidRPr="00D202D0">
              <w:rPr>
                <w:rStyle w:val="Hyperlink"/>
                <w:noProof/>
              </w:rPr>
              <w:t>Facteurs influençant la capacité d’action des méta-organisations</w:t>
            </w:r>
            <w:r w:rsidR="00152675">
              <w:rPr>
                <w:noProof/>
                <w:webHidden/>
              </w:rPr>
              <w:tab/>
            </w:r>
            <w:r w:rsidR="00152675">
              <w:rPr>
                <w:noProof/>
                <w:webHidden/>
              </w:rPr>
              <w:fldChar w:fldCharType="begin"/>
            </w:r>
            <w:r w:rsidR="00152675">
              <w:rPr>
                <w:noProof/>
                <w:webHidden/>
              </w:rPr>
              <w:instrText xml:space="preserve"> PAGEREF _Toc115454554 \h </w:instrText>
            </w:r>
            <w:r w:rsidR="00152675">
              <w:rPr>
                <w:noProof/>
                <w:webHidden/>
              </w:rPr>
            </w:r>
            <w:r w:rsidR="00152675">
              <w:rPr>
                <w:noProof/>
                <w:webHidden/>
              </w:rPr>
              <w:fldChar w:fldCharType="separate"/>
            </w:r>
            <w:r w:rsidR="0019692E">
              <w:rPr>
                <w:noProof/>
                <w:webHidden/>
              </w:rPr>
              <w:t>15</w:t>
            </w:r>
            <w:r w:rsidR="00152675">
              <w:rPr>
                <w:noProof/>
                <w:webHidden/>
              </w:rPr>
              <w:fldChar w:fldCharType="end"/>
            </w:r>
          </w:hyperlink>
        </w:p>
        <w:p w14:paraId="1D6512C7" w14:textId="58101EB6" w:rsidR="00152675" w:rsidRDefault="00B029F7">
          <w:pPr>
            <w:pStyle w:val="TOC1"/>
            <w:tabs>
              <w:tab w:val="left" w:pos="440"/>
              <w:tab w:val="right" w:leader="dot" w:pos="9394"/>
            </w:tabs>
            <w:rPr>
              <w:rFonts w:eastAsiaTheme="minorEastAsia"/>
              <w:noProof/>
              <w:lang w:eastAsia="fr-CA"/>
            </w:rPr>
          </w:pPr>
          <w:hyperlink w:anchor="_Toc115454555" w:history="1">
            <w:r w:rsidR="00152675" w:rsidRPr="00D202D0">
              <w:rPr>
                <w:rStyle w:val="Hyperlink"/>
                <w:noProof/>
              </w:rPr>
              <w:t>5.</w:t>
            </w:r>
            <w:r w:rsidR="00152675">
              <w:rPr>
                <w:rFonts w:eastAsiaTheme="minorEastAsia"/>
                <w:noProof/>
                <w:lang w:eastAsia="fr-CA"/>
              </w:rPr>
              <w:tab/>
            </w:r>
            <w:r w:rsidR="00152675" w:rsidRPr="00D202D0">
              <w:rPr>
                <w:rStyle w:val="Hyperlink"/>
                <w:noProof/>
              </w:rPr>
              <w:t>Contributions au Plan d’action favorisant un gouvernement ouvert</w:t>
            </w:r>
            <w:r w:rsidR="00152675">
              <w:rPr>
                <w:noProof/>
                <w:webHidden/>
              </w:rPr>
              <w:tab/>
            </w:r>
            <w:r w:rsidR="00152675">
              <w:rPr>
                <w:noProof/>
                <w:webHidden/>
              </w:rPr>
              <w:fldChar w:fldCharType="begin"/>
            </w:r>
            <w:r w:rsidR="00152675">
              <w:rPr>
                <w:noProof/>
                <w:webHidden/>
              </w:rPr>
              <w:instrText xml:space="preserve"> PAGEREF _Toc115454555 \h </w:instrText>
            </w:r>
            <w:r w:rsidR="00152675">
              <w:rPr>
                <w:noProof/>
                <w:webHidden/>
              </w:rPr>
            </w:r>
            <w:r w:rsidR="00152675">
              <w:rPr>
                <w:noProof/>
                <w:webHidden/>
              </w:rPr>
              <w:fldChar w:fldCharType="separate"/>
            </w:r>
            <w:r w:rsidR="0019692E">
              <w:rPr>
                <w:noProof/>
                <w:webHidden/>
              </w:rPr>
              <w:t>22</w:t>
            </w:r>
            <w:r w:rsidR="00152675">
              <w:rPr>
                <w:noProof/>
                <w:webHidden/>
              </w:rPr>
              <w:fldChar w:fldCharType="end"/>
            </w:r>
          </w:hyperlink>
        </w:p>
        <w:p w14:paraId="498E1F47" w14:textId="541BEC0A" w:rsidR="00152675" w:rsidRDefault="00B029F7">
          <w:pPr>
            <w:pStyle w:val="TOC2"/>
            <w:tabs>
              <w:tab w:val="left" w:pos="880"/>
              <w:tab w:val="right" w:leader="dot" w:pos="9394"/>
            </w:tabs>
            <w:rPr>
              <w:rFonts w:eastAsiaTheme="minorEastAsia"/>
              <w:noProof/>
              <w:lang w:eastAsia="fr-CA"/>
            </w:rPr>
          </w:pPr>
          <w:hyperlink w:anchor="_Toc115454556" w:history="1">
            <w:r w:rsidR="00152675" w:rsidRPr="00D202D0">
              <w:rPr>
                <w:rStyle w:val="Hyperlink"/>
                <w:noProof/>
              </w:rPr>
              <w:t>5.1.</w:t>
            </w:r>
            <w:r w:rsidR="00152675">
              <w:rPr>
                <w:rFonts w:eastAsiaTheme="minorEastAsia"/>
                <w:noProof/>
                <w:lang w:eastAsia="fr-CA"/>
              </w:rPr>
              <w:tab/>
            </w:r>
            <w:r w:rsidR="00152675" w:rsidRPr="00D202D0">
              <w:rPr>
                <w:rStyle w:val="Hyperlink"/>
                <w:noProof/>
              </w:rPr>
              <w:t>Bonification du modèle théorique</w:t>
            </w:r>
            <w:r w:rsidR="00152675">
              <w:rPr>
                <w:noProof/>
                <w:webHidden/>
              </w:rPr>
              <w:tab/>
            </w:r>
            <w:r w:rsidR="00152675">
              <w:rPr>
                <w:noProof/>
                <w:webHidden/>
              </w:rPr>
              <w:fldChar w:fldCharType="begin"/>
            </w:r>
            <w:r w:rsidR="00152675">
              <w:rPr>
                <w:noProof/>
                <w:webHidden/>
              </w:rPr>
              <w:instrText xml:space="preserve"> PAGEREF _Toc115454556 \h </w:instrText>
            </w:r>
            <w:r w:rsidR="00152675">
              <w:rPr>
                <w:noProof/>
                <w:webHidden/>
              </w:rPr>
            </w:r>
            <w:r w:rsidR="00152675">
              <w:rPr>
                <w:noProof/>
                <w:webHidden/>
              </w:rPr>
              <w:fldChar w:fldCharType="separate"/>
            </w:r>
            <w:r w:rsidR="0019692E">
              <w:rPr>
                <w:noProof/>
                <w:webHidden/>
              </w:rPr>
              <w:t>22</w:t>
            </w:r>
            <w:r w:rsidR="00152675">
              <w:rPr>
                <w:noProof/>
                <w:webHidden/>
              </w:rPr>
              <w:fldChar w:fldCharType="end"/>
            </w:r>
          </w:hyperlink>
        </w:p>
        <w:p w14:paraId="6C52CF77" w14:textId="29788B51" w:rsidR="00152675" w:rsidRDefault="00B029F7">
          <w:pPr>
            <w:pStyle w:val="TOC2"/>
            <w:tabs>
              <w:tab w:val="left" w:pos="880"/>
              <w:tab w:val="right" w:leader="dot" w:pos="9394"/>
            </w:tabs>
            <w:rPr>
              <w:rFonts w:eastAsiaTheme="minorEastAsia"/>
              <w:noProof/>
              <w:lang w:eastAsia="fr-CA"/>
            </w:rPr>
          </w:pPr>
          <w:hyperlink w:anchor="_Toc115454557" w:history="1">
            <w:r w:rsidR="00152675" w:rsidRPr="00D202D0">
              <w:rPr>
                <w:rStyle w:val="Hyperlink"/>
                <w:noProof/>
              </w:rPr>
              <w:t>5.2.</w:t>
            </w:r>
            <w:r w:rsidR="00152675">
              <w:rPr>
                <w:rFonts w:eastAsiaTheme="minorEastAsia"/>
                <w:noProof/>
                <w:lang w:eastAsia="fr-CA"/>
              </w:rPr>
              <w:tab/>
            </w:r>
            <w:r w:rsidR="00152675" w:rsidRPr="00D202D0">
              <w:rPr>
                <w:rStyle w:val="Hyperlink"/>
                <w:noProof/>
              </w:rPr>
              <w:t>Élaborer un environnement favorable à l’émergence de SIIO</w:t>
            </w:r>
            <w:r w:rsidR="00152675">
              <w:rPr>
                <w:noProof/>
                <w:webHidden/>
              </w:rPr>
              <w:tab/>
            </w:r>
            <w:r w:rsidR="00152675">
              <w:rPr>
                <w:noProof/>
                <w:webHidden/>
              </w:rPr>
              <w:fldChar w:fldCharType="begin"/>
            </w:r>
            <w:r w:rsidR="00152675">
              <w:rPr>
                <w:noProof/>
                <w:webHidden/>
              </w:rPr>
              <w:instrText xml:space="preserve"> PAGEREF _Toc115454557 \h </w:instrText>
            </w:r>
            <w:r w:rsidR="00152675">
              <w:rPr>
                <w:noProof/>
                <w:webHidden/>
              </w:rPr>
            </w:r>
            <w:r w:rsidR="00152675">
              <w:rPr>
                <w:noProof/>
                <w:webHidden/>
              </w:rPr>
              <w:fldChar w:fldCharType="separate"/>
            </w:r>
            <w:r w:rsidR="0019692E">
              <w:rPr>
                <w:noProof/>
                <w:webHidden/>
              </w:rPr>
              <w:t>23</w:t>
            </w:r>
            <w:r w:rsidR="00152675">
              <w:rPr>
                <w:noProof/>
                <w:webHidden/>
              </w:rPr>
              <w:fldChar w:fldCharType="end"/>
            </w:r>
          </w:hyperlink>
        </w:p>
        <w:p w14:paraId="3FEDFEEB" w14:textId="15401B27" w:rsidR="00152675" w:rsidRDefault="00B029F7">
          <w:pPr>
            <w:pStyle w:val="TOC1"/>
            <w:tabs>
              <w:tab w:val="left" w:pos="440"/>
              <w:tab w:val="right" w:leader="dot" w:pos="9394"/>
            </w:tabs>
            <w:rPr>
              <w:rFonts w:eastAsiaTheme="minorEastAsia"/>
              <w:noProof/>
              <w:lang w:eastAsia="fr-CA"/>
            </w:rPr>
          </w:pPr>
          <w:hyperlink w:anchor="_Toc115454558" w:history="1">
            <w:r w:rsidR="00152675" w:rsidRPr="00D202D0">
              <w:rPr>
                <w:rStyle w:val="Hyperlink"/>
                <w:noProof/>
              </w:rPr>
              <w:t>6.</w:t>
            </w:r>
            <w:r w:rsidR="00152675">
              <w:rPr>
                <w:rFonts w:eastAsiaTheme="minorEastAsia"/>
                <w:noProof/>
                <w:lang w:eastAsia="fr-CA"/>
              </w:rPr>
              <w:tab/>
            </w:r>
            <w:r w:rsidR="00152675" w:rsidRPr="00D202D0">
              <w:rPr>
                <w:rStyle w:val="Hyperlink"/>
                <w:noProof/>
              </w:rPr>
              <w:t>Conclusion</w:t>
            </w:r>
            <w:r w:rsidR="00152675">
              <w:rPr>
                <w:noProof/>
                <w:webHidden/>
              </w:rPr>
              <w:tab/>
            </w:r>
            <w:r w:rsidR="00152675">
              <w:rPr>
                <w:noProof/>
                <w:webHidden/>
              </w:rPr>
              <w:fldChar w:fldCharType="begin"/>
            </w:r>
            <w:r w:rsidR="00152675">
              <w:rPr>
                <w:noProof/>
                <w:webHidden/>
              </w:rPr>
              <w:instrText xml:space="preserve"> PAGEREF _Toc115454558 \h </w:instrText>
            </w:r>
            <w:r w:rsidR="00152675">
              <w:rPr>
                <w:noProof/>
                <w:webHidden/>
              </w:rPr>
            </w:r>
            <w:r w:rsidR="00152675">
              <w:rPr>
                <w:noProof/>
                <w:webHidden/>
              </w:rPr>
              <w:fldChar w:fldCharType="separate"/>
            </w:r>
            <w:r w:rsidR="0019692E">
              <w:rPr>
                <w:noProof/>
                <w:webHidden/>
              </w:rPr>
              <w:t>24</w:t>
            </w:r>
            <w:r w:rsidR="00152675">
              <w:rPr>
                <w:noProof/>
                <w:webHidden/>
              </w:rPr>
              <w:fldChar w:fldCharType="end"/>
            </w:r>
          </w:hyperlink>
        </w:p>
        <w:p w14:paraId="28594C6C" w14:textId="35B5908C" w:rsidR="00152675" w:rsidRDefault="00B029F7">
          <w:pPr>
            <w:pStyle w:val="TOC1"/>
            <w:tabs>
              <w:tab w:val="left" w:pos="440"/>
              <w:tab w:val="right" w:leader="dot" w:pos="9394"/>
            </w:tabs>
            <w:rPr>
              <w:rFonts w:eastAsiaTheme="minorEastAsia"/>
              <w:noProof/>
              <w:lang w:eastAsia="fr-CA"/>
            </w:rPr>
          </w:pPr>
          <w:hyperlink w:anchor="_Toc115454559" w:history="1">
            <w:r w:rsidR="00152675" w:rsidRPr="00D202D0">
              <w:rPr>
                <w:rStyle w:val="Hyperlink"/>
                <w:noProof/>
              </w:rPr>
              <w:t>7.</w:t>
            </w:r>
            <w:r w:rsidR="00152675">
              <w:rPr>
                <w:rFonts w:eastAsiaTheme="minorEastAsia"/>
                <w:noProof/>
                <w:lang w:eastAsia="fr-CA"/>
              </w:rPr>
              <w:tab/>
            </w:r>
            <w:r w:rsidR="00152675" w:rsidRPr="00D202D0">
              <w:rPr>
                <w:rStyle w:val="Hyperlink"/>
                <w:noProof/>
              </w:rPr>
              <w:t>Références</w:t>
            </w:r>
            <w:r w:rsidR="00152675">
              <w:rPr>
                <w:noProof/>
                <w:webHidden/>
              </w:rPr>
              <w:tab/>
            </w:r>
            <w:r w:rsidR="00152675">
              <w:rPr>
                <w:noProof/>
                <w:webHidden/>
              </w:rPr>
              <w:fldChar w:fldCharType="begin"/>
            </w:r>
            <w:r w:rsidR="00152675">
              <w:rPr>
                <w:noProof/>
                <w:webHidden/>
              </w:rPr>
              <w:instrText xml:space="preserve"> PAGEREF _Toc115454559 \h </w:instrText>
            </w:r>
            <w:r w:rsidR="00152675">
              <w:rPr>
                <w:noProof/>
                <w:webHidden/>
              </w:rPr>
            </w:r>
            <w:r w:rsidR="00152675">
              <w:rPr>
                <w:noProof/>
                <w:webHidden/>
              </w:rPr>
              <w:fldChar w:fldCharType="separate"/>
            </w:r>
            <w:r w:rsidR="0019692E">
              <w:rPr>
                <w:noProof/>
                <w:webHidden/>
              </w:rPr>
              <w:t>26</w:t>
            </w:r>
            <w:r w:rsidR="00152675">
              <w:rPr>
                <w:noProof/>
                <w:webHidden/>
              </w:rPr>
              <w:fldChar w:fldCharType="end"/>
            </w:r>
          </w:hyperlink>
        </w:p>
        <w:p w14:paraId="2040A075" w14:textId="04D596EA" w:rsidR="00B374E6" w:rsidRDefault="003849CD">
          <w:r>
            <w:fldChar w:fldCharType="end"/>
          </w:r>
        </w:p>
      </w:sdtContent>
    </w:sdt>
    <w:p w14:paraId="3C4B357D" w14:textId="57790B44" w:rsidR="00661ABF" w:rsidRDefault="00B374E6" w:rsidP="00B374E6">
      <w:pPr>
        <w:pStyle w:val="Heading1"/>
      </w:pPr>
      <w:r>
        <w:br w:type="column"/>
      </w:r>
      <w:bookmarkStart w:id="0" w:name="_Toc115454540"/>
      <w:r w:rsidR="00661ABF" w:rsidRPr="008E2C93">
        <w:t>Sommaire exécutif</w:t>
      </w:r>
      <w:bookmarkEnd w:id="0"/>
    </w:p>
    <w:p w14:paraId="0621DEF4" w14:textId="51FF432F" w:rsidR="00103DB7" w:rsidRDefault="009852E7" w:rsidP="00BA3538">
      <w:r>
        <w:t>Le</w:t>
      </w:r>
      <w:r w:rsidR="007939BE">
        <w:t xml:space="preserve"> </w:t>
      </w:r>
      <w:r w:rsidR="007939BE" w:rsidRPr="008E2C93">
        <w:t>Centre québécois d’excellence numérique (CQEN)</w:t>
      </w:r>
      <w:r>
        <w:t xml:space="preserve"> a conclu un partenariat avec le </w:t>
      </w:r>
      <w:r w:rsidR="00451906">
        <w:t>Centre de recherche en technologies de l’information et affaires (</w:t>
      </w:r>
      <w:proofErr w:type="spellStart"/>
      <w:r w:rsidR="00451906">
        <w:t>CeRTIA</w:t>
      </w:r>
      <w:proofErr w:type="spellEnd"/>
      <w:r w:rsidR="00451906">
        <w:t>) de l’Université Laval</w:t>
      </w:r>
      <w:r>
        <w:t xml:space="preserve">, afin d’alimenter </w:t>
      </w:r>
      <w:r w:rsidR="002D1684">
        <w:t>la conception du « Plan d’action favorisant un gouvernement ouvert 2023-2025 », et plus spécifiquement l’action se concentrant sur le déploiement d’écosystèmes numériques québécois.</w:t>
      </w:r>
      <w:r w:rsidR="00896A9F">
        <w:t xml:space="preserve"> Ce mandat consistait en deux livrables : une étude théorique, destinée à présenter un état des lieux des connaissances scientifiques (remis le 30 novembre 2022); et la présente étude empirique, destinée à vérifier et compléter ces connaissances, ainsi qu’à les appliquer aux </w:t>
      </w:r>
      <w:r w:rsidR="00B57737">
        <w:t>réalités et spécificités du contexte québécois.</w:t>
      </w:r>
    </w:p>
    <w:p w14:paraId="39DF20A7" w14:textId="5B16692F" w:rsidR="00BA3538" w:rsidRDefault="00CA45C5" w:rsidP="00BA3538">
      <w:r>
        <w:rPr>
          <w:b/>
          <w:bCs/>
          <w:u w:val="single"/>
        </w:rPr>
        <w:t xml:space="preserve">Des méta-organisations leaders de </w:t>
      </w:r>
      <w:r w:rsidR="00D22EB3">
        <w:rPr>
          <w:b/>
          <w:bCs/>
          <w:u w:val="single"/>
        </w:rPr>
        <w:t>la numérisation des écosystèmes québécois</w:t>
      </w:r>
      <w:r w:rsidR="00B57737" w:rsidRPr="00B57737">
        <w:t>.</w:t>
      </w:r>
      <w:r w:rsidR="00FA32A6">
        <w:t xml:space="preserve"> Les systèmes d’information inter-</w:t>
      </w:r>
      <w:r w:rsidR="008A10EC">
        <w:t>organisationnels</w:t>
      </w:r>
      <w:r w:rsidR="00CE2720">
        <w:t xml:space="preserve"> (SIIO)</w:t>
      </w:r>
      <w:r w:rsidR="008A10EC">
        <w:t xml:space="preserve"> permettent à des organisations d’automatiser la transmission de données, et ainsi de mutualiser leurs données à l’échelle de l’écosystème. Les initiatives </w:t>
      </w:r>
      <w:proofErr w:type="spellStart"/>
      <w:r w:rsidR="008A10EC">
        <w:t>Géofluence</w:t>
      </w:r>
      <w:proofErr w:type="spellEnd"/>
      <w:r w:rsidR="008A10EC">
        <w:t xml:space="preserve">, menée par les organismes de bassins versant, et RESAM, menée par les groupements forestiers, sont deux exemples de </w:t>
      </w:r>
      <w:r w:rsidR="00CE2720">
        <w:t>SIIO</w:t>
      </w:r>
      <w:r w:rsidR="008A10EC">
        <w:t xml:space="preserve"> québécois, destinés à améliorer la gestion des données au sein de leurs écosystèmes respectifs, et d’en faciliter la transmission aux ministères.</w:t>
      </w:r>
    </w:p>
    <w:p w14:paraId="3697B005" w14:textId="0A1D5D61" w:rsidR="00D670E8" w:rsidRDefault="00D670E8" w:rsidP="00BA3538">
      <w:r>
        <w:t>Les méta-organisations</w:t>
      </w:r>
      <w:r w:rsidR="002233BB">
        <w:t xml:space="preserve"> de chacun de ces écosystèmes, nommément le </w:t>
      </w:r>
      <w:r w:rsidR="00643AB8">
        <w:t>Regroupement des organismes de bassins versants du Québec (ROBVQ) et Groupements forestiers Québec (GFQ)</w:t>
      </w:r>
      <w:r>
        <w:t xml:space="preserve"> ont joué un rôle clé dans l’émergence</w:t>
      </w:r>
      <w:r w:rsidR="00643AB8">
        <w:t xml:space="preserve"> et la </w:t>
      </w:r>
      <w:r w:rsidR="00CE2720">
        <w:t xml:space="preserve">pérennisation de ces deux SIIO. Néanmoins, </w:t>
      </w:r>
      <w:r w:rsidR="00D22EB3">
        <w:t>la conduite du changement s’est déroulée</w:t>
      </w:r>
      <w:r w:rsidR="006D017A">
        <w:t xml:space="preserve"> au sein d’environnement</w:t>
      </w:r>
      <w:r w:rsidR="00795635">
        <w:t>s</w:t>
      </w:r>
      <w:r w:rsidR="006D017A">
        <w:t xml:space="preserve"> particulièrement complexes, caractérisés par une multiplicité d’acteurs décidant de manière autonome de soutenir (ou non) l’émergence de ces SIIO.</w:t>
      </w:r>
      <w:r w:rsidR="00D22EB3">
        <w:t xml:space="preserve"> </w:t>
      </w:r>
      <w:r w:rsidR="006D017A">
        <w:t xml:space="preserve">En particulier, adopter un SIIO requiert que les acteurs d’un écosystème </w:t>
      </w:r>
      <w:r w:rsidR="00130B8B">
        <w:t>s’accorden</w:t>
      </w:r>
      <w:r w:rsidR="00795635">
        <w:t>t</w:t>
      </w:r>
      <w:r w:rsidR="006D017A">
        <w:t xml:space="preserve"> et adoptent de manière relativement simultanée des standards d’interopérabilité, permettant </w:t>
      </w:r>
      <w:proofErr w:type="gramStart"/>
      <w:r w:rsidR="006D017A">
        <w:t>a</w:t>
      </w:r>
      <w:proofErr w:type="gramEnd"/>
      <w:r w:rsidR="006D017A">
        <w:t xml:space="preserve"> minima de standardiser les données (standards sémantique), voire d’en automatiser la transmission entre leurs systèmes respectifs (standards techniques).</w:t>
      </w:r>
    </w:p>
    <w:p w14:paraId="0CB36429" w14:textId="50F960E5" w:rsidR="00130B8B" w:rsidRPr="00B57737" w:rsidRDefault="00985CBD" w:rsidP="00BA3538">
      <w:pPr>
        <w:rPr>
          <w:b/>
          <w:bCs/>
          <w:u w:val="single"/>
        </w:rPr>
      </w:pPr>
      <w:r>
        <w:t>La présente recherche s’intéresse aux</w:t>
      </w:r>
      <w:r w:rsidR="00130B8B">
        <w:t xml:space="preserve"> facteurs qui ont </w:t>
      </w:r>
      <w:r>
        <w:t xml:space="preserve">renforcé (ou affaibli) la disposition des méta-organisations à équiper leur écosystème d’un SIIO. </w:t>
      </w:r>
      <w:r w:rsidR="00F55338">
        <w:t>La disposition au changement numérique est composée de trois dimensions. Une dimension dispositionnelle, qui renvoie aux caractéristiques internes de la méta-organisation. Une dimension contextuelle, qui fait référence aux acteurs opérant autour de la méta-organisation. Et une dimension technologique, qui porte sur les caractéristiques et perceptions des outils techniques utilisés pour réaliser le SIIO.</w:t>
      </w:r>
    </w:p>
    <w:p w14:paraId="0CD70337" w14:textId="024DA2B1" w:rsidR="00103DB7" w:rsidRDefault="002F6209" w:rsidP="00BA3538">
      <w:r>
        <w:rPr>
          <w:b/>
          <w:bCs/>
          <w:u w:val="single"/>
        </w:rPr>
        <w:t>Les composantes de la disposition des méta-organisations</w:t>
      </w:r>
      <w:r w:rsidR="008254F1" w:rsidRPr="00F55338">
        <w:rPr>
          <w:b/>
          <w:bCs/>
          <w:u w:val="single"/>
        </w:rPr>
        <w:t xml:space="preserve"> à s’équiper d’un </w:t>
      </w:r>
      <w:r w:rsidR="00985CBD" w:rsidRPr="00F55338">
        <w:rPr>
          <w:b/>
          <w:bCs/>
          <w:u w:val="single"/>
        </w:rPr>
        <w:t>SIIO.</w:t>
      </w:r>
      <w:r>
        <w:t xml:space="preserve"> Les SIIO étudiés ont émergé à partir d’un besoin collectif d’améliorer le partage de données entre les acteurs de l’écosystème</w:t>
      </w:r>
      <w:r w:rsidR="004331AC">
        <w:t>, et de faciliter le transfert de ces données aux ministères</w:t>
      </w:r>
      <w:r>
        <w:t xml:space="preserve">. Les processus préexistants </w:t>
      </w:r>
      <w:r w:rsidR="0058432B">
        <w:t>(</w:t>
      </w:r>
      <w:r w:rsidR="004331AC">
        <w:t>envoi</w:t>
      </w:r>
      <w:r w:rsidR="0058432B">
        <w:t xml:space="preserve"> manuel de fichiers non-standardisés) </w:t>
      </w:r>
      <w:r w:rsidR="008A321D">
        <w:t>demandaient un travail conséquent</w:t>
      </w:r>
      <w:r w:rsidR="004331AC">
        <w:t xml:space="preserve"> de la part de l’ensemble des acteurs pour transmettre et consolider les données, et débouchaient sur des bases de données à la fois incomplètes et difficiles d’accès.</w:t>
      </w:r>
      <w:r w:rsidR="00835C04">
        <w:t xml:space="preserve"> Les solutions propriétaires ont été délaissées au profit de solutions open source offrant une plus grande flexibilité et un meilleur contrôle sur les données.</w:t>
      </w:r>
    </w:p>
    <w:p w14:paraId="10DBAF8E" w14:textId="2F3D866B" w:rsidR="003C578D" w:rsidRDefault="003C578D" w:rsidP="00BA3538">
      <w:r>
        <w:t xml:space="preserve">Les méta-organisations </w:t>
      </w:r>
      <w:r w:rsidR="00477A12">
        <w:t xml:space="preserve">ont démontré deux atouts-clés dans la gestion du changement amenant à l’émergence de ces SIIO. D’une part, elles ont permis </w:t>
      </w:r>
      <w:r w:rsidR="00B6293B">
        <w:t xml:space="preserve">aux projets de SIIO de passer à l’échelle, </w:t>
      </w:r>
      <w:r w:rsidR="00A105DA">
        <w:t xml:space="preserve">en créant la confiance et en mobilisant les organisations de leur écosystème, </w:t>
      </w:r>
      <w:r w:rsidR="008F22B1">
        <w:t>ainsi qu’en établissant</w:t>
      </w:r>
      <w:r w:rsidR="00A105DA">
        <w:t xml:space="preserve"> et anim</w:t>
      </w:r>
      <w:r w:rsidR="008F22B1">
        <w:t>ant</w:t>
      </w:r>
      <w:r w:rsidR="00A105DA">
        <w:t xml:space="preserve"> des cadres de gouvernance adaptés à la gestion de ressources mutualisé</w:t>
      </w:r>
      <w:r w:rsidR="00933234">
        <w:t>e</w:t>
      </w:r>
      <w:r w:rsidR="00A105DA">
        <w:t>s.</w:t>
      </w:r>
      <w:r w:rsidR="00467659">
        <w:t xml:space="preserve"> D’autre part, elles ont offert aux employés ministériels une plateforme d’expérimentation flexible, permettant à ces derniers de conduire des projets expérimentaux d’échanges de données avec les écosystèmes partenaires.</w:t>
      </w:r>
    </w:p>
    <w:p w14:paraId="50CFB09F" w14:textId="18EBA7DC" w:rsidR="00933234" w:rsidRDefault="00933234" w:rsidP="00BA3538">
      <w:r>
        <w:t>L</w:t>
      </w:r>
      <w:r w:rsidR="00E44C10">
        <w:t xml:space="preserve">a disposition des méta-organisations étudiées </w:t>
      </w:r>
      <w:r w:rsidR="00EB5765">
        <w:t>a été influencée</w:t>
      </w:r>
      <w:r w:rsidR="005F0393">
        <w:t xml:space="preserve"> par </w:t>
      </w:r>
      <w:r w:rsidR="00005A63">
        <w:t xml:space="preserve">l’évolution de leur contexte. En particulier, les organisations-membres </w:t>
      </w:r>
      <w:r w:rsidR="00467659">
        <w:t>ont progressivement recruté des employés ayant des expertises en gestion de bases de données, créant de nouveaux besoins et opportunités de collaboration</w:t>
      </w:r>
      <w:r w:rsidR="00795635">
        <w:t xml:space="preserve"> à l’échelle de l’écosystème</w:t>
      </w:r>
      <w:r w:rsidR="00467659">
        <w:t>. En outre, les écosystèmes étaient caractérisés par une culture de coopération, et une absence de compétition entre les membres. Enfin, l</w:t>
      </w:r>
      <w:r w:rsidR="00092722">
        <w:t xml:space="preserve">’implication des ministères peut contribuer à renforcer la </w:t>
      </w:r>
      <w:r w:rsidR="00102039">
        <w:t>disposition des méta-organisations</w:t>
      </w:r>
      <w:r w:rsidR="00BF2330">
        <w:t>, que ce soit à travers une reconnaissance de l’opportunité des projets de SIIO, ou par des actions encourageant (voire contraignant) leur utilisation.</w:t>
      </w:r>
    </w:p>
    <w:p w14:paraId="7F9CEC49" w14:textId="741949A6" w:rsidR="00102039" w:rsidRDefault="00102039" w:rsidP="00BA3538">
      <w:r>
        <w:t>Les</w:t>
      </w:r>
      <w:r w:rsidR="009F5159">
        <w:t xml:space="preserve"> caractéristiques internes aux méta-organisations influencent également leur disposition à </w:t>
      </w:r>
      <w:r w:rsidR="00FB4461">
        <w:t xml:space="preserve">équiper leur écosystème d’un SIIO. Elles ont besoin d’avoir accès à des ressources et expertises, en interne et facilement mobilisables parmi leur écosystème. Leur structure de gouvernance peut également nécessiter de </w:t>
      </w:r>
      <w:r w:rsidR="00F010F1">
        <w:t>s’adapter aux particularités du SIIO</w:t>
      </w:r>
      <w:r w:rsidR="000B6747">
        <w:t>,</w:t>
      </w:r>
      <w:r w:rsidR="00F010F1">
        <w:t xml:space="preserve"> typiquement</w:t>
      </w:r>
      <w:r w:rsidR="000B6747">
        <w:t xml:space="preserve"> en</w:t>
      </w:r>
      <w:r w:rsidR="002D684B">
        <w:t xml:space="preserve"> créant de nouvelles communautés de pratique, et en</w:t>
      </w:r>
      <w:r w:rsidR="000B6747">
        <w:t xml:space="preserve"> </w:t>
      </w:r>
      <w:r w:rsidR="00795635">
        <w:t>établissant</w:t>
      </w:r>
      <w:r w:rsidR="00F010F1">
        <w:t xml:space="preserve"> un comité exécutif</w:t>
      </w:r>
      <w:r w:rsidR="00795635">
        <w:t xml:space="preserve"> ouvert exclusivement aux</w:t>
      </w:r>
      <w:r w:rsidR="00F010F1">
        <w:t xml:space="preserve"> organisations </w:t>
      </w:r>
      <w:r w:rsidR="000B6747">
        <w:t>utilisatrices du SIIO</w:t>
      </w:r>
      <w:r w:rsidR="00795635">
        <w:t xml:space="preserve"> et finançant ce dernier</w:t>
      </w:r>
      <w:r w:rsidR="000B6747">
        <w:t>.</w:t>
      </w:r>
    </w:p>
    <w:p w14:paraId="7CC1B2AD" w14:textId="511B14BD" w:rsidR="002D684B" w:rsidRPr="002F6209" w:rsidRDefault="002D684B" w:rsidP="00BA3538">
      <w:r>
        <w:t xml:space="preserve">Enfin, la disposition des méta-organisations est influencée par </w:t>
      </w:r>
      <w:r w:rsidR="00060DDE">
        <w:t>leur environnement technologique. L’accès à la connexion internet demeure une problématique pour certains secteurs, notamment dans les zones éloignées des centres urbains.</w:t>
      </w:r>
      <w:r w:rsidR="00F838CB">
        <w:t xml:space="preserve"> Les </w:t>
      </w:r>
      <w:r w:rsidR="00903357">
        <w:t xml:space="preserve">concepteurs de SIIO ont également besoin de se reposer sur des standards </w:t>
      </w:r>
      <w:r w:rsidR="00A76170">
        <w:t>reconnus et pérennes : l’action gouvernementale peut être attendue pour définir des standards sectoriels, et ainsi en favoriser l’adoption.</w:t>
      </w:r>
      <w:r w:rsidR="005C1F55">
        <w:t xml:space="preserve"> Ces standards sont notamment </w:t>
      </w:r>
      <w:r w:rsidR="00B53A02">
        <w:t xml:space="preserve">nécessaires pour </w:t>
      </w:r>
      <w:r w:rsidR="00380D12">
        <w:t>assurer une uniformisation des données elles-mêmes (standards sémantiques), mais aussi pour permettre aux différents outils d’échanger ces données entre eux (standards techniques).</w:t>
      </w:r>
    </w:p>
    <w:p w14:paraId="17C74AB4" w14:textId="77777777" w:rsidR="003A3134" w:rsidRDefault="00103DB7" w:rsidP="00BA3538">
      <w:r w:rsidRPr="000C03D6">
        <w:rPr>
          <w:b/>
          <w:bCs/>
          <w:u w:val="single"/>
        </w:rPr>
        <w:t>Favoriser l’émergence d’écosystèmes numériques québécois</w:t>
      </w:r>
      <w:r w:rsidR="000C03D6">
        <w:t>.</w:t>
      </w:r>
      <w:r w:rsidR="00E441F0">
        <w:t xml:space="preserve"> </w:t>
      </w:r>
      <w:r w:rsidR="008C486A">
        <w:t>Les résult</w:t>
      </w:r>
      <w:r w:rsidR="009F35F6">
        <w:t>ats de notre recherche</w:t>
      </w:r>
      <w:r w:rsidR="0069618B">
        <w:t xml:space="preserve"> nous ont permis d’identifier certaines actions qui pourraient contribuer à renforcer la disposition des méta-organisations à </w:t>
      </w:r>
      <w:r w:rsidR="00BF21BF">
        <w:t>équiper leurs écosystèmes respectifs d’un SIIO. Ce</w:t>
      </w:r>
      <w:r w:rsidR="006030DC">
        <w:t>s actions incluent</w:t>
      </w:r>
      <w:r w:rsidR="00AA5248">
        <w:t xml:space="preserve"> le renforcement de la cohérence de l’action publique à travers les différentes directions ministérielles; un soutien aux initiatives des méta-organisations cherchant à stimuler l’innovation autour de projets de SIIO; ainsi que la définition et la diffusion de standards sémantiques et techniques. </w:t>
      </w:r>
    </w:p>
    <w:p w14:paraId="18E65250" w14:textId="0111084B" w:rsidR="00FB07CC" w:rsidRDefault="003A3134" w:rsidP="00FD41E0">
      <w:r w:rsidRPr="00FD41E0">
        <w:rPr>
          <w:b/>
          <w:bCs/>
          <w:u w:val="single"/>
        </w:rPr>
        <w:t>En conclusion</w:t>
      </w:r>
      <w:r>
        <w:t xml:space="preserve">. </w:t>
      </w:r>
      <w:r w:rsidR="00537C25">
        <w:t xml:space="preserve">Les SIIO émergent </w:t>
      </w:r>
      <w:r w:rsidR="0025307E">
        <w:t>et évoluent au sein d’</w:t>
      </w:r>
      <w:r w:rsidR="00537C25">
        <w:t xml:space="preserve">environnements interopérables. </w:t>
      </w:r>
      <w:r w:rsidR="00795635">
        <w:t xml:space="preserve">Un environnement </w:t>
      </w:r>
      <w:r w:rsidR="00524C18">
        <w:t xml:space="preserve">interopérable se construit </w:t>
      </w:r>
      <w:r w:rsidR="00DC7DF2">
        <w:t>à quatre niveaux : intervention gouvernementale et cadre réglementaire</w:t>
      </w:r>
      <w:r w:rsidR="00E8383E">
        <w:t xml:space="preserve"> (interopérabilité légale)</w:t>
      </w:r>
      <w:r w:rsidR="00DC7DF2">
        <w:t xml:space="preserve">; </w:t>
      </w:r>
      <w:r w:rsidR="00F444B8">
        <w:t>collaboration inter-organisationnelle</w:t>
      </w:r>
      <w:r w:rsidR="00E8383E">
        <w:t xml:space="preserve"> (interopérabilité organisationnelle)</w:t>
      </w:r>
      <w:r w:rsidR="00F444B8">
        <w:t xml:space="preserve">; </w:t>
      </w:r>
      <w:r w:rsidR="00E8383E">
        <w:t>structuration des données (interopérabilité sémantique)</w:t>
      </w:r>
      <w:r w:rsidR="00F444B8">
        <w:t xml:space="preserve">; </w:t>
      </w:r>
      <w:r w:rsidR="00E8383E">
        <w:t>protocoles d’échanges de données (interopérabilité technique)</w:t>
      </w:r>
      <w:r w:rsidR="00F444B8">
        <w:t>.</w:t>
      </w:r>
      <w:r w:rsidR="00E8383E">
        <w:t xml:space="preserve"> Les méta-organisations </w:t>
      </w:r>
      <w:r w:rsidR="00524C18">
        <w:t>sont</w:t>
      </w:r>
      <w:r w:rsidR="00E8383E">
        <w:t xml:space="preserve"> des plateformes à la rencontre des acteurs gouvernementaux et des écosystèmes organisationnels, </w:t>
      </w:r>
      <w:r w:rsidR="00524C18">
        <w:t>offrant</w:t>
      </w:r>
      <w:r w:rsidR="00E8383E">
        <w:t xml:space="preserve"> un cadre d’expérimentation </w:t>
      </w:r>
      <w:r w:rsidR="00201876">
        <w:t xml:space="preserve">et d’apprentissage collectif. </w:t>
      </w:r>
      <w:r w:rsidR="00FD41E0">
        <w:t>Le soutien et l’implication de ces parties prenantes est une composante essentielle à la disposition des méta-organisations d’engager une stratégie de SIIO pour leur écosystème.</w:t>
      </w:r>
      <w:r w:rsidR="00F60BFA">
        <w:t xml:space="preserve"> </w:t>
      </w:r>
    </w:p>
    <w:p w14:paraId="748186CF" w14:textId="17C36BD3" w:rsidR="00FD41E0" w:rsidRPr="00FD41E0" w:rsidRDefault="00FD41E0" w:rsidP="00FD41E0">
      <w:pPr>
        <w:pStyle w:val="Heading1"/>
      </w:pPr>
      <w:bookmarkStart w:id="1" w:name="_Toc115454541"/>
      <w:r>
        <w:t>Objet de la recherche</w:t>
      </w:r>
      <w:bookmarkEnd w:id="1"/>
    </w:p>
    <w:p w14:paraId="33F75D3E" w14:textId="2031D8D4" w:rsidR="00D03331" w:rsidRDefault="00344DDB" w:rsidP="005056AC">
      <w:r>
        <w:t>Afin de poser les contours de l</w:t>
      </w:r>
      <w:r w:rsidR="001346B6">
        <w:t>’étude faisant l’objet du présent rapport</w:t>
      </w:r>
      <w:r>
        <w:t xml:space="preserve"> </w:t>
      </w:r>
      <w:proofErr w:type="spellStart"/>
      <w:r>
        <w:t>rapport</w:t>
      </w:r>
      <w:proofErr w:type="spellEnd"/>
      <w:r>
        <w:t xml:space="preserve">, nous </w:t>
      </w:r>
      <w:r w:rsidR="001346B6">
        <w:t>rappelons</w:t>
      </w:r>
      <w:r>
        <w:t xml:space="preserve"> le contexte du</w:t>
      </w:r>
      <w:r w:rsidR="00E6501E">
        <w:t xml:space="preserve"> </w:t>
      </w:r>
      <w:r w:rsidR="00166E16">
        <w:t>mandat (section 2.1),</w:t>
      </w:r>
      <w:r>
        <w:t xml:space="preserve"> avant d’introduire et de définir les concepts utilisés </w:t>
      </w:r>
      <w:r w:rsidR="00D03331">
        <w:t>(section 2.2)</w:t>
      </w:r>
      <w:r w:rsidR="001346B6">
        <w:t>, présenter les objectifs (section 2.3) et la question de recherche (section 2.4).</w:t>
      </w:r>
    </w:p>
    <w:p w14:paraId="26892B18" w14:textId="101A6636" w:rsidR="00FB07CC" w:rsidRPr="008E2C93" w:rsidRDefault="003A0689" w:rsidP="00B9385C">
      <w:pPr>
        <w:pStyle w:val="Heading2"/>
      </w:pPr>
      <w:bookmarkStart w:id="2" w:name="_Toc115454542"/>
      <w:r w:rsidRPr="008E2C93">
        <w:t>Contexte du mandat</w:t>
      </w:r>
      <w:bookmarkEnd w:id="2"/>
    </w:p>
    <w:p w14:paraId="4D6A60DA" w14:textId="56AB5A3C" w:rsidR="008E2C93" w:rsidRDefault="008E2C93" w:rsidP="005056AC">
      <w:r w:rsidRPr="008E2C93">
        <w:t>Le Centre québécois d’excellence numérique (CQEN) est une entité du Secrétariat du Conseil du</w:t>
      </w:r>
      <w:r>
        <w:t xml:space="preserve"> trésor doté d’une mission de leadership au sein de la communauté gouvernementale, consistant à « accélérer et faciliter la transformation numérique en favorisant le partage et la collaboration</w:t>
      </w:r>
      <w:r w:rsidR="00DA212F">
        <w:t> »</w:t>
      </w:r>
      <w:r>
        <w:t xml:space="preserve"> (Gouvernement du Québec, 2021). L’une de ses actions consiste à déployer un écosystème numérique dont les parties prenantes, telles que le Centre de recherche en technologies de l’information et affaires (</w:t>
      </w:r>
      <w:proofErr w:type="spellStart"/>
      <w:r>
        <w:t>CeRTIA</w:t>
      </w:r>
      <w:proofErr w:type="spellEnd"/>
      <w:r>
        <w:t>) de l’Université Laval, mettent à profit leur intelligence collective afin d’appréhender les défis de la transformation numérique.</w:t>
      </w:r>
    </w:p>
    <w:p w14:paraId="125FADED" w14:textId="3F8C2C03" w:rsidR="000151CE" w:rsidRDefault="008E2C93" w:rsidP="005056AC">
      <w:r>
        <w:t xml:space="preserve">Le partenariat conclu entre le CQEN et le </w:t>
      </w:r>
      <w:proofErr w:type="spellStart"/>
      <w:r>
        <w:t>CeRTIA</w:t>
      </w:r>
      <w:proofErr w:type="spellEnd"/>
      <w:r>
        <w:t xml:space="preserve"> a pour objet de contribuer à l’élaboration du plan d’action en gouvernement ouvert 2023-2025. Dans ce cadre, </w:t>
      </w:r>
      <w:r w:rsidR="000151CE">
        <w:t>la présente</w:t>
      </w:r>
      <w:r>
        <w:t xml:space="preserve"> recherche exploratoire a été commanditée afin de proposer des actions stratégiques permettant de dynamiser l’écosystème numérique en vue du prochain plan d’action.</w:t>
      </w:r>
    </w:p>
    <w:p w14:paraId="7BF608E0" w14:textId="2DDAE45F" w:rsidR="00EC1503" w:rsidRDefault="00EC1503" w:rsidP="005056AC">
      <w:r>
        <w:t>C</w:t>
      </w:r>
      <w:r w:rsidR="00005951">
        <w:t xml:space="preserve">ette recherche </w:t>
      </w:r>
      <w:r>
        <w:t>s’intéresse à</w:t>
      </w:r>
      <w:r w:rsidR="00005951">
        <w:t xml:space="preserve"> </w:t>
      </w:r>
      <w:r w:rsidR="009D7907">
        <w:t>l’adoption de</w:t>
      </w:r>
      <w:r>
        <w:t xml:space="preserve"> systèmes d’information inter-organisationnels (SIIO), qui sont des</w:t>
      </w:r>
      <w:r w:rsidR="009D7907">
        <w:t xml:space="preserve"> technologies de l’information permettant </w:t>
      </w:r>
      <w:r w:rsidR="00005951">
        <w:t>de faciliter la circulation des données (ouvertes) au sein d’un écosystème d’organisations</w:t>
      </w:r>
      <w:r>
        <w:t>. Nous appréhendons le phénomène par l’angle des organisations fédérant et représentant les écosystèmes, que nous désignons sous le terme de méta-organisations. Les caractéristiques des SIIO</w:t>
      </w:r>
      <w:r w:rsidR="00CE16D3">
        <w:t xml:space="preserve">, </w:t>
      </w:r>
      <w:r>
        <w:t>des méta-organisations</w:t>
      </w:r>
      <w:r w:rsidR="00CE16D3">
        <w:t>, ainsi que le concept de disposition des méta-organisations au changement,</w:t>
      </w:r>
      <w:r>
        <w:t xml:space="preserve"> sont exposées dans </w:t>
      </w:r>
      <w:r w:rsidR="00CE16D3">
        <w:t>la section suivante (2.2).</w:t>
      </w:r>
    </w:p>
    <w:p w14:paraId="399399AF" w14:textId="0D0859A6" w:rsidR="008F13CF" w:rsidRDefault="00A321AB" w:rsidP="005056AC">
      <w:r>
        <w:t xml:space="preserve">La recherche est la continuité d’un précédent livrable (« Diffuser des standards d’interopérabilité : atouts et contraintes des méta-organisations », 30 novembre 2021). Celui-ci visait à </w:t>
      </w:r>
      <w:r w:rsidR="008D2360">
        <w:t>recenser, parmi la littérature scientifique existante,</w:t>
      </w:r>
      <w:r>
        <w:t xml:space="preserve"> les facteurs influençant la disposition des méta-organisations à </w:t>
      </w:r>
      <w:r w:rsidR="008D2360">
        <w:t xml:space="preserve">mener un projet de SIIO pour leurs membres. </w:t>
      </w:r>
      <w:r w:rsidR="00CE16D3">
        <w:t xml:space="preserve">Ce présent livrable vise à vérifier empiriquement si et comment ces facteurs s’expriment sur le terrain. Nous en déduisons des </w:t>
      </w:r>
      <w:r w:rsidR="00FE735C">
        <w:t>contributions possibles visant à alimenter</w:t>
      </w:r>
      <w:r w:rsidR="008F13CF">
        <w:t xml:space="preserve"> la conception du</w:t>
      </w:r>
      <w:r w:rsidR="00FE735C">
        <w:t xml:space="preserve"> </w:t>
      </w:r>
      <w:r w:rsidR="008F13CF">
        <w:t>« </w:t>
      </w:r>
      <w:r w:rsidR="008F13CF" w:rsidRPr="008F13CF">
        <w:t>Plan d’action favorisant un gouvernement ouvert 202</w:t>
      </w:r>
      <w:r w:rsidR="00D57F8B">
        <w:t>3</w:t>
      </w:r>
      <w:r w:rsidR="008F13CF" w:rsidRPr="008F13CF">
        <w:t>-202</w:t>
      </w:r>
      <w:r w:rsidR="00D57F8B">
        <w:t>5</w:t>
      </w:r>
      <w:r w:rsidR="008F13CF">
        <w:t> » par le Secrétariat du Conseil du trésor du Québec.</w:t>
      </w:r>
    </w:p>
    <w:p w14:paraId="507B7ED2" w14:textId="51A51BF8" w:rsidR="00806F32" w:rsidRDefault="00806F32" w:rsidP="00B9385C">
      <w:pPr>
        <w:pStyle w:val="Heading2"/>
      </w:pPr>
      <w:bookmarkStart w:id="3" w:name="_Toc115454543"/>
      <w:r>
        <w:t>Concepts et définitions</w:t>
      </w:r>
      <w:bookmarkEnd w:id="3"/>
    </w:p>
    <w:p w14:paraId="462ED15C" w14:textId="01A4DF42" w:rsidR="00DA212F" w:rsidRPr="00DA212F" w:rsidRDefault="008359D9" w:rsidP="005056AC">
      <w:r>
        <w:t xml:space="preserve">Notre étude </w:t>
      </w:r>
      <w:r w:rsidR="0085128C">
        <w:t xml:space="preserve">se concentre sur </w:t>
      </w:r>
      <w:r w:rsidR="005D03DC">
        <w:t xml:space="preserve">un phénomène, </w:t>
      </w:r>
      <w:r>
        <w:t xml:space="preserve">l’émergence de systèmes d’information inter-organisationnels (section 2.2.1), </w:t>
      </w:r>
      <w:r w:rsidR="005D03DC">
        <w:t>un acteur, les méta-organisations (section 2.2.2)</w:t>
      </w:r>
      <w:r w:rsidR="0085128C">
        <w:t>, et une temporalité du changement, l</w:t>
      </w:r>
      <w:r w:rsidR="00CD394D">
        <w:t>es conditions précédant la prise de décision par la méta-organisation de contribuer à l’émergence d’un SIIO (section 2.2.3).</w:t>
      </w:r>
    </w:p>
    <w:p w14:paraId="4A787595" w14:textId="69496227" w:rsidR="00512328" w:rsidRDefault="00A41D56" w:rsidP="005B7F57">
      <w:pPr>
        <w:pStyle w:val="Heading3"/>
      </w:pPr>
      <w:r>
        <w:t>Caractériser</w:t>
      </w:r>
      <w:r w:rsidR="00512328">
        <w:t xml:space="preserve"> le </w:t>
      </w:r>
      <w:r w:rsidR="008359D9">
        <w:t>système d’information inter-organisationnel</w:t>
      </w:r>
    </w:p>
    <w:p w14:paraId="266A89CF" w14:textId="6BD96D11" w:rsidR="00897B57" w:rsidRDefault="00897B57" w:rsidP="005056AC">
      <w:r>
        <w:t>Un</w:t>
      </w:r>
      <w:r w:rsidR="008359D9">
        <w:t xml:space="preserve"> système d’information inter-organisationnel</w:t>
      </w:r>
      <w:r>
        <w:t xml:space="preserve"> </w:t>
      </w:r>
      <w:r w:rsidR="008359D9">
        <w:t>(</w:t>
      </w:r>
      <w:r>
        <w:t>SIIO</w:t>
      </w:r>
      <w:r w:rsidR="008359D9">
        <w:t>)</w:t>
      </w:r>
      <w:r>
        <w:t xml:space="preserve"> peut être défini comme un artéfact numérique capable d’automatiser l’échange de données entre organisations</w:t>
      </w:r>
      <w:r w:rsidR="004943AA">
        <w:t xml:space="preserve"> </w:t>
      </w:r>
      <w:r w:rsidR="002A4B76">
        <w:fldChar w:fldCharType="begin"/>
      </w:r>
      <w:r w:rsidR="002A4B76">
        <w:instrText xml:space="preserve"> ADDIN ZOTERO_ITEM CSL_CITATION {"citationID":"M1OQuHkW","properties":{"formattedCitation":"(Robey et al., 2008)","plainCitation":"(Robey et al., 2008)","noteIndex":0},"citationItems":[{"id":1145,"uris":["http://zotero.org/users/5525364/items/V6C4BUX5"],"itemData":{"id":1145,"type":"article-journal","abstract":"This paper guides the theoretical development of future research on interorganizational systems (IOS). We first assess past IOS research by reviewing and summarizing the findings of 51 empirical studies of IOS published in 11 IS journals between 1990 and 2003. This literature addresses three primary issues: (1) factors influencing organizational decisions to adopt IOS; (2) the impact of IOS on governance over economic transactions; and (3) the organizational consequences of IOS adoption. From our assessment of the findings and theoretical approaches taken in past research, we offer three recommendations for future research. First, the theoretical foundations of IOS research during this period are diverse, representing 17 different yet complementary theories. We recommend that researchers continue to diversify their theoretical approaches in order to address new research challenges. Second, we recommend that IOS researchers move beyond mere descriptions of IOS artifacts by engaging with IOS artifacts on theoretical grounds. Third, we identify and describe new theoretical directions for future IOS research in each of the main issue areas.","container-title":"Journal of the Association for Information Systems","DOI":"10.17705/1jais.00171","ISSN":"15369323","issue":"9","journalAbbreviation":"JAIS","language":"en","page":"497-518","source":"DOI.org (Crossref)","title":"Theoretical Foundations of Empirical Research on Interorganizational Systems: Assessing Past Contributions and Guiding Future Directions","title-short":"Theoretical Foundations of Empirical Research on Interorganizational Systems","volume":"9","author":[{"family":"Robey","given":"Daniel"},{"family":"Im","given":"Ghiyoung"},{"family":"Wareham","given":"Jonathan D"}],"issued":{"date-parts":[["2008",9]]}}}],"schema":"https://github.com/citation-style-language/schema/raw/master/csl-citation.json"} </w:instrText>
      </w:r>
      <w:r w:rsidR="002A4B76">
        <w:fldChar w:fldCharType="separate"/>
      </w:r>
      <w:r w:rsidR="002A4B76" w:rsidRPr="002A4B76">
        <w:rPr>
          <w:rFonts w:ascii="Calibri" w:hAnsi="Calibri" w:cs="Calibri"/>
        </w:rPr>
        <w:t>(Robey et al., 2008)</w:t>
      </w:r>
      <w:r w:rsidR="002A4B76">
        <w:fldChar w:fldCharType="end"/>
      </w:r>
      <w:r>
        <w:t>.</w:t>
      </w:r>
    </w:p>
    <w:p w14:paraId="7D5E1267" w14:textId="7E2BE89D" w:rsidR="00005951" w:rsidRDefault="00920A1B" w:rsidP="005056AC">
      <w:r>
        <w:t xml:space="preserve">Selon le projet poursuivi et la technologie adoptée, un SIIO peut être de nature plus ou moins centralisé. Un SIIO centralisé peut consister en une solution (interface et serveur) unique, utilisée par plusieurs organisations : par exemple, </w:t>
      </w:r>
      <w:r w:rsidR="00C711DD">
        <w:t>un wiki mutualisé</w:t>
      </w:r>
      <w:r>
        <w:t>.</w:t>
      </w:r>
      <w:r w:rsidR="005520A7">
        <w:t xml:space="preserve"> Les organisations délèguent alors </w:t>
      </w:r>
      <w:r w:rsidR="00512328">
        <w:t xml:space="preserve">le contrôle des données et de l’interface applicative </w:t>
      </w:r>
      <w:r w:rsidR="005520A7">
        <w:t>à une organisation tierce.</w:t>
      </w:r>
      <w:r>
        <w:t xml:space="preserve"> </w:t>
      </w:r>
      <w:r w:rsidR="00C711DD">
        <w:t>À l’autre bout du spectre, un</w:t>
      </w:r>
      <w:r>
        <w:t xml:space="preserve"> SIIO </w:t>
      </w:r>
      <w:r w:rsidR="00C711DD">
        <w:t>décentralisé peut prendre la forme de solutions gérées de manière autonome par chaque organisation,</w:t>
      </w:r>
      <w:r w:rsidR="005520A7">
        <w:t xml:space="preserve"> dotées d’un protocole commun leur permettant d’échanger et traiter des données de manière automatisée : par exemple, un virement interbancaire. Dans ce scénario, chaque organisation conserve le </w:t>
      </w:r>
      <w:r w:rsidR="00512328">
        <w:t>plein contrôle sur ses données et système d’information. Entre ces deux extrêmes se trouvent de nombreuses possibilités intermédiaires</w:t>
      </w:r>
      <w:r w:rsidR="00236350">
        <w:t xml:space="preserve"> </w:t>
      </w:r>
      <w:r w:rsidR="00236350">
        <w:fldChar w:fldCharType="begin"/>
      </w:r>
      <w:r w:rsidR="00236350">
        <w:instrText xml:space="preserve"> ADDIN ZOTERO_ITEM CSL_CITATION {"citationID":"6HuVbsdx","properties":{"formattedCitation":"(Rod\\uc0\\u243{}n &amp; Ses\\uc0\\u233{}, 2010)","plainCitation":"(Rodón &amp; Sesé, 2010)","noteIndex":0},"citationItems":[{"id":2,"uris":["http://zotero.org/users/5525364/items/LHJSKKV6"],"itemData":{"id":2,"type":"article-journal","abstract":"Despite extensive research and practitioner literature on inter-organizational information systems (IOIS), our understanding of non-adoption still has some under-explored issues. This paper offers an explanation of non-adoption that focuses on the potential structural changes that IOIS adoption entails; in particular, we contend that the contradictions between the initial social structure and the structure enacted in the use of an IOIS can be a cause of nonadoption. This paper analyses adoption from a logic of opposition where nonadoption occurs because forces of transformation are offset by forces of persistence. Relying on the concepts of social structure, duality of structure, and structural contradiction from Structuration theory, we develop a framework that categorizes the underlying social structure where an IOIS is to be adopted, and formulate some theoretical propositions. From a practitioner perspective, this paper contends that the fact that IOIS management uncovers the contradictions in the social structure that result from IOIS adoption can help avoid dead ends. Accordingly, this framework, which can be used as a coarsegrained picture for anticipating adoption problems, can inform managers when devising an IOIS implementation strategy.","container-title":"European Journal of Information Systems","DOI":"10.1057/ejis.2010.44","ISSN":"0960-085X, 1476-9344","issue":"6","journalAbbreviation":"European Journal of Information Systems","language":"en","page":"637-648","source":"DOI.org (Crossref)","title":"Analysing IOIS adoption through structural contradictions","volume":"19","author":[{"family":"Rodón","given":"Juan"},{"family":"Sesé","given":"Feliciano"}],"issued":{"date-parts":[["2010",12]]}}}],"schema":"https://github.com/citation-style-language/schema/raw/master/csl-citation.json"} </w:instrText>
      </w:r>
      <w:r w:rsidR="00236350">
        <w:fldChar w:fldCharType="separate"/>
      </w:r>
      <w:r w:rsidR="00236350" w:rsidRPr="00236350">
        <w:rPr>
          <w:rFonts w:ascii="Calibri" w:hAnsi="Calibri" w:cs="Calibri"/>
          <w:szCs w:val="24"/>
        </w:rPr>
        <w:t>(Rodón &amp; Sesé, 2010)</w:t>
      </w:r>
      <w:r w:rsidR="00236350">
        <w:fldChar w:fldCharType="end"/>
      </w:r>
      <w:r w:rsidR="00512328">
        <w:t>.</w:t>
      </w:r>
    </w:p>
    <w:p w14:paraId="34609842" w14:textId="130AB5F7" w:rsidR="00512328" w:rsidRDefault="00DA212F" w:rsidP="005056AC">
      <w:r>
        <w:t>Quelle que</w:t>
      </w:r>
      <w:r w:rsidR="00512328">
        <w:t xml:space="preserve"> soit l’approche utilisée, un SIIO nécessite que des organisations adoptent des standards communs</w:t>
      </w:r>
      <w:r w:rsidR="00DB3894">
        <w:t xml:space="preserve"> </w:t>
      </w:r>
      <w:r w:rsidR="00DB3894">
        <w:fldChar w:fldCharType="begin"/>
      </w:r>
      <w:r w:rsidR="00DB3894">
        <w:instrText xml:space="preserve"> ADDIN ZOTERO_ITEM CSL_CITATION {"citationID":"FNuhGLJR","properties":{"formattedCitation":"(Brunsson et al., 2012)","plainCitation":"(Brunsson et al., 2012)","noteIndex":0},"citationItems":[{"id":984,"uris":["http://zotero.org/users/5525364/items/FE76YA8S"],"itemData":{"id":984,"type":"article-journal","abstract":"This paper suggests that when the phenomenon of standards and standardization is examined from the perspective of organization studies, three aspects stand out: the standardization of organizations, standardization by organizations and standardization as (a form of) organization. Following a comprehensive overview of existing research in these three areas, we argue that the dynamic aspects of standardization are under-represented in the scholarly discourse. Furthermore, we identify the main types of tension associated with standardization and the dynamics they generate in each of those three areas, and show that, while standards and standardization are typically associated with stability and sameness, they are essentially a dynamic phenomenon. The paper highlights the contributions of this special issue to the topic of standards as a dynamic phenomenon in organization studies and makes suggestions for future research.","container-title":"Organization Studies","DOI":"10.1177/0170840612450120","ISSN":"0170-8406, 1741-3044","issue":"5-6","journalAbbreviation":"Organization Studies","language":"en","page":"613-632","source":"DOI.org (Crossref)","title":"The Dynamics of Standardization: Three Perspectives on Standards in Organization Studies","title-short":"The Dynamics of Standardization","volume":"33","author":[{"family":"Brunsson","given":"Nils"},{"family":"Rasche","given":"Andreas"},{"family":"Seidl","given":"David"}],"issued":{"date-parts":[["2012",5]]}}}],"schema":"https://github.com/citation-style-language/schema/raw/master/csl-citation.json"} </w:instrText>
      </w:r>
      <w:r w:rsidR="00DB3894">
        <w:fldChar w:fldCharType="separate"/>
      </w:r>
      <w:r w:rsidR="00DB3894" w:rsidRPr="00DB3894">
        <w:rPr>
          <w:rFonts w:ascii="Calibri" w:hAnsi="Calibri" w:cs="Calibri"/>
        </w:rPr>
        <w:t>(Brunsson et al., 2012)</w:t>
      </w:r>
      <w:r w:rsidR="00DB3894">
        <w:fldChar w:fldCharType="end"/>
      </w:r>
      <w:r w:rsidR="00512328">
        <w:t>. La nature des standards varie selon le type de SIIO élaboré. Un SIIO centralisé requiert une standardisation des pratiques de travail : l’interface étant mutualisée,</w:t>
      </w:r>
      <w:r w:rsidR="00A41D56">
        <w:t xml:space="preserve"> l’ensemble des utilisateurs doivent aligner leurs pratiques de travail. </w:t>
      </w:r>
      <w:r w:rsidR="00BA2CF8">
        <w:t>Un SIIO décentralisé est quant à lui destiné à permettre la coexistence d’une multiplicité de systèmes : chaque organisation peut ainsi conserver sa propre interface, et ainsi préserver une partie de ses processus et routines organisationnels préexistant. Toutefois, une standardisation sera à mettre en place au niveau des couches plus profondes du système d’information (structure des données, protocoles de requête, systèmes d’authentification…), ce qui implique un alignement des pratiques entre les techniciens responsables de la maintenance et du développement de chaque système d’information</w:t>
      </w:r>
      <w:r w:rsidR="008D6B08">
        <w:t xml:space="preserve"> </w:t>
      </w:r>
      <w:r w:rsidR="007471A5">
        <w:fldChar w:fldCharType="begin"/>
      </w:r>
      <w:r w:rsidR="003D2CE3">
        <w:instrText xml:space="preserve"> ADDIN ZOTERO_ITEM CSL_CITATION {"citationID":"WMxH5wsX","properties":{"formattedCitation":"(Reimers et al., 2014; Rod\\uc0\\u243{}n &amp; Ses\\uc0\\u233{}, 2010; Tassey, 2000)","plainCitation":"(Reimers et al., 2014; Rodón &amp; Sesé, 2010; Tassey, 2000)","noteIndex":0},"citationItems":[{"id":3,"uris":["http://zotero.org/users/5525364/items/PNHK88UB"],"itemData":{"id":3,"type":"article-journal","container-title":"European Journal of Information Systems","DOI":"10.1057/ejis.2013.7","ISSN":"0960-085X, 1476-9344","issue":"4","journalAbbreviation":"European Journal of Information Systems","language":"en","page":"373-399","source":"DOI.org (Crossref)","title":"An empirical evaluation of existing IS change theories for the case of IOIS evolution","volume":"23","author":[{"family":"Reimers","given":"Kai"},{"family":"Johnston","given":"Robert B"},{"family":"Klein","given":"Stefan"}],"issued":{"date-parts":[["2014",7]]}}},{"id":2,"uris":["http://zotero.org/users/5525364/items/LHJSKKV6"],"itemData":{"id":2,"type":"article-journal","abstract":"Despite extensive research and practitioner literature on inter-organizational information systems (IOIS), our understanding of non-adoption still has some under-explored issues. This paper offers an explanation of non-adoption that focuses on the potential structural changes that IOIS adoption entails; in particular, we contend that the contradictions between the initial social structure and the structure enacted in the use of an IOIS can be a cause of nonadoption. This paper analyses adoption from a logic of opposition where nonadoption occurs because forces of transformation are offset by forces of persistence. Relying on the concepts of social structure, duality of structure, and structural contradiction from Structuration theory, we develop a framework that categorizes the underlying social structure where an IOIS is to be adopted, and formulate some theoretical propositions. From a practitioner perspective, this paper contends that the fact that IOIS management uncovers the contradictions in the social structure that result from IOIS adoption can help avoid dead ends. Accordingly, this framework, which can be used as a coarsegrained picture for anticipating adoption problems, can inform managers when devising an IOIS implementation strategy.","container-title":"European Journal of Information Systems","DOI":"10.1057/ejis.2010.44","ISSN":"0960-085X, 1476-9344","issue":"6","journalAbbreviation":"European Journal of Information Systems","language":"en","page":"637-648","source":"DOI.org (Crossref)","title":"Analysing IOIS adoption through structural contradictions","volume":"19","author":[{"family":"Rodón","given":"Juan"},{"family":"Sesé","given":"Feliciano"}],"issued":{"date-parts":[["2010",12]]}}},{"id":1186,"uris":["http://zotero.org/users/5525364/items/TRFECVW7"],"itemData":{"id":1186,"type":"article-journal","abstract":"The complexity of modern technology, especially its system character, has led to an increase in the number and variety of standards that affect a single industry or market. Standards affect the R&amp;D, production, and market penetration stages of economic activity and therefore have a significant collective effect on innovation, productivity, and market structure. Standards are classified into product-element and nonproduct categories because the two types arise from different technologies and require different formulation and implementation strategies. Because standards are a form of technical infrastructure, they have considerable public good content. Research policy must therefore include standardization in analyses of technology-based growth issues.","container-title":"Research Policy","DOI":"10.1016/S0048-7333(99)00091-8","ISSN":"0048-7333","issue":"4","journalAbbreviation":"Research Policy","language":"en","page":"587-602","source":"ScienceDirect","title":"Standardization in technology-based markets","volume":"29","author":[{"family":"Tassey","given":"Gregory"}],"issued":{"date-parts":[["2000",4,1]]}}}],"schema":"https://github.com/citation-style-language/schema/raw/master/csl-citation.json"} </w:instrText>
      </w:r>
      <w:r w:rsidR="007471A5">
        <w:fldChar w:fldCharType="separate"/>
      </w:r>
      <w:r w:rsidR="003D2CE3" w:rsidRPr="003D2CE3">
        <w:rPr>
          <w:rFonts w:ascii="Calibri" w:hAnsi="Calibri" w:cs="Calibri"/>
          <w:szCs w:val="24"/>
        </w:rPr>
        <w:t>(Reimers et al., 2014; Rodón &amp; Sesé, 2010; Tassey, 2000)</w:t>
      </w:r>
      <w:r w:rsidR="007471A5">
        <w:fldChar w:fldCharType="end"/>
      </w:r>
      <w:r w:rsidR="00BA2CF8">
        <w:t>.</w:t>
      </w:r>
    </w:p>
    <w:p w14:paraId="3D0A99FF" w14:textId="2D1589E5" w:rsidR="00BA2CF8" w:rsidRDefault="004F6609" w:rsidP="005B7F57">
      <w:pPr>
        <w:pStyle w:val="Heading3"/>
      </w:pPr>
      <w:r>
        <w:t>Les méta-organisations :</w:t>
      </w:r>
      <w:r w:rsidR="00BC29C9">
        <w:t xml:space="preserve"> </w:t>
      </w:r>
      <w:r w:rsidR="00897B57">
        <w:t xml:space="preserve">leaders </w:t>
      </w:r>
      <w:r w:rsidR="008359D9">
        <w:t>de projets de</w:t>
      </w:r>
      <w:r w:rsidR="00897B57">
        <w:t xml:space="preserve"> SIIO</w:t>
      </w:r>
    </w:p>
    <w:p w14:paraId="383005EB" w14:textId="37D344DB" w:rsidR="00BC29C9" w:rsidRDefault="00BC29C9" w:rsidP="005056AC">
      <w:r>
        <w:t>Les méta-organisations</w:t>
      </w:r>
      <w:r w:rsidR="00897B57">
        <w:t xml:space="preserve"> sont des organisations dont les membres sont eux-mêmes des organisations, plutôt que des individus</w:t>
      </w:r>
      <w:r w:rsidR="007471A5">
        <w:t xml:space="preserve"> </w:t>
      </w:r>
      <w:r w:rsidR="007471A5">
        <w:fldChar w:fldCharType="begin"/>
      </w:r>
      <w:r w:rsidR="007471A5">
        <w:instrText xml:space="preserve"> ADDIN ZOTERO_ITEM CSL_CITATION {"citationID":"Xkvm0Eaw","properties":{"formattedCitation":"(Ahrne &amp; Brunsson, 2005)","plainCitation":"(Ahrne &amp; Brunsson, 2005)","noteIndex":0},"citationItems":[{"id":344,"uris":["http://zotero.org/users/5525364/items/43J2QJIP"],"itemData":{"id":344,"type":"article-journal","abstract":"Most theories about organizations assume implicitly or explicitly that the members of organizations are individual persons. However, a large and growing number of organizations are ‘‘meta-organizations’’ whose members are other organizations. How organizations function is affected by the kind of members that they have. In this article it is argued that meta-organizations differ from individual-based organizations in important ways, and that they thus call for somewhat different theories. An outline of a theory for meta-organizations is suggested below. It aims to explain three fundamental elements in any theory of organizations: the creating and sustaining of formal organizations, the sources of and the reactions to conﬂict within organizations, and the question of organizational change.","container-title":"Scandinavian Journal of Management","DOI":"10.1016/j.scaman.2005.09.005","ISSN":"09565221","issue":"4","language":"en","page":"429-449","source":"Crossref","title":"Organizations and meta-organizations","volume":"21","author":[{"family":"Ahrne","given":"Göran"},{"family":"Brunsson","given":"Nils"}],"issued":{"date-parts":[["2005",12]]}}}],"schema":"https://github.com/citation-style-language/schema/raw/master/csl-citation.json"} </w:instrText>
      </w:r>
      <w:r w:rsidR="007471A5">
        <w:fldChar w:fldCharType="separate"/>
      </w:r>
      <w:r w:rsidR="007471A5" w:rsidRPr="007471A5">
        <w:rPr>
          <w:rFonts w:ascii="Calibri" w:hAnsi="Calibri" w:cs="Calibri"/>
        </w:rPr>
        <w:t>(Ahrne &amp; Brunsson, 2005)</w:t>
      </w:r>
      <w:r w:rsidR="007471A5">
        <w:fldChar w:fldCharType="end"/>
      </w:r>
      <w:r w:rsidR="00897B57">
        <w:t xml:space="preserve">. </w:t>
      </w:r>
      <w:r w:rsidR="008B1C0A">
        <w:t>Elles sont actives à tous les niveaux, depuis le niveau local (</w:t>
      </w:r>
      <w:r w:rsidR="003E7ADE">
        <w:t xml:space="preserve">par exemple : </w:t>
      </w:r>
      <w:r w:rsidR="007C0898">
        <w:t>Pôle d’économie sociale de la Capitale-Nationale) jusqu’</w:t>
      </w:r>
      <w:r w:rsidR="003E7ADE">
        <w:t>au niveau international (</w:t>
      </w:r>
      <w:r w:rsidR="00945E8F">
        <w:t>par exemple : l’</w:t>
      </w:r>
      <w:r w:rsidR="004533A4">
        <w:t>Association du transport aérien international, IATA)</w:t>
      </w:r>
      <w:r w:rsidR="008D64EA">
        <w:t xml:space="preserve">. Elles sont présentes dans tous les secteurs d’activité, que ce soit public </w:t>
      </w:r>
      <w:r w:rsidR="00945E8F">
        <w:t>(par exemple : les m</w:t>
      </w:r>
      <w:r w:rsidR="00945E8F" w:rsidRPr="00945E8F">
        <w:t>unicipalité</w:t>
      </w:r>
      <w:r w:rsidR="00945E8F">
        <w:t>s</w:t>
      </w:r>
      <w:r w:rsidR="00945E8F" w:rsidRPr="00945E8F">
        <w:t xml:space="preserve"> régionale</w:t>
      </w:r>
      <w:r w:rsidR="00945E8F">
        <w:t>s</w:t>
      </w:r>
      <w:r w:rsidR="00945E8F" w:rsidRPr="00945E8F">
        <w:t xml:space="preserve"> de comté</w:t>
      </w:r>
      <w:r w:rsidR="00945E8F">
        <w:t xml:space="preserve">, MRC) </w:t>
      </w:r>
      <w:r w:rsidR="008D64EA">
        <w:t>ou privé</w:t>
      </w:r>
      <w:r w:rsidR="0029092B">
        <w:t xml:space="preserve"> (par exemple : la Fédération des </w:t>
      </w:r>
      <w:r w:rsidR="00190484">
        <w:t>c</w:t>
      </w:r>
      <w:r w:rsidR="0029092B">
        <w:t>aisses Desjardins</w:t>
      </w:r>
      <w:r w:rsidR="00190484">
        <w:t xml:space="preserve"> du Québec</w:t>
      </w:r>
      <w:r w:rsidR="0029092B">
        <w:t>)</w:t>
      </w:r>
      <w:r w:rsidR="008D64EA">
        <w:t>.</w:t>
      </w:r>
    </w:p>
    <w:p w14:paraId="2A43E672" w14:textId="0D93F99D" w:rsidR="00821432" w:rsidRDefault="000E72A5" w:rsidP="005056AC">
      <w:r>
        <w:t>Malgré leur</w:t>
      </w:r>
      <w:r w:rsidR="00580918">
        <w:t>s</w:t>
      </w:r>
      <w:r>
        <w:t xml:space="preserve"> disparité</w:t>
      </w:r>
      <w:r w:rsidR="00580918">
        <w:t>s</w:t>
      </w:r>
      <w:r>
        <w:t xml:space="preserve">, les méta-organisations </w:t>
      </w:r>
      <w:r w:rsidR="004C7C5C">
        <w:t>ont en commun des</w:t>
      </w:r>
      <w:r w:rsidR="00295166">
        <w:t xml:space="preserve"> </w:t>
      </w:r>
      <w:r w:rsidR="00580918">
        <w:t>fonctions</w:t>
      </w:r>
      <w:r w:rsidR="000B23B0">
        <w:t xml:space="preserve"> et rôles</w:t>
      </w:r>
      <w:r w:rsidR="00CD604D">
        <w:t>.</w:t>
      </w:r>
      <w:r w:rsidR="000B23B0">
        <w:t xml:space="preserve"> </w:t>
      </w:r>
      <w:r w:rsidR="00EE1176">
        <w:t xml:space="preserve">Une méta-organisation a pour </w:t>
      </w:r>
      <w:r w:rsidR="00724837">
        <w:t>rôle</w:t>
      </w:r>
      <w:r w:rsidR="000B23B0">
        <w:t xml:space="preserve"> </w:t>
      </w:r>
      <w:r w:rsidR="00EE1176">
        <w:t>d’offrir à ses</w:t>
      </w:r>
      <w:r w:rsidR="002A0B02">
        <w:t xml:space="preserve"> membres</w:t>
      </w:r>
      <w:r w:rsidR="000B23B0">
        <w:t xml:space="preserve"> une infrastructure de collaboration inter-organisationnell</w:t>
      </w:r>
      <w:r w:rsidR="00A16378">
        <w:t>e</w:t>
      </w:r>
      <w:r w:rsidR="005477E0">
        <w:t xml:space="preserve">, </w:t>
      </w:r>
      <w:r w:rsidR="00500B5C">
        <w:t>qu’elle définit</w:t>
      </w:r>
      <w:r w:rsidR="005477E0">
        <w:t xml:space="preserve"> autour d’une identité collective</w:t>
      </w:r>
      <w:r w:rsidR="00B478EE">
        <w:t xml:space="preserve"> (« qui sommes-nous en tant que collectif d’organisations »)</w:t>
      </w:r>
      <w:r w:rsidR="009E549F">
        <w:t xml:space="preserve"> </w:t>
      </w:r>
      <w:r w:rsidR="009E549F">
        <w:fldChar w:fldCharType="begin"/>
      </w:r>
      <w:r w:rsidR="009E549F">
        <w:instrText xml:space="preserve"> ADDIN ZOTERO_ITEM CSL_CITATION {"citationID":"iLYIpME6","properties":{"formattedCitation":"(K\\uc0\\u246{}nig et al., 2012)","plainCitation":"(König et al., 2012)","noteIndex":0},"citationItems":[{"id":287,"uris":["http://zotero.org/users/5525364/items/D5BRKDB6"],"itemData":{"id":287,"type":"article-journal","abstract":"We add a new perspective to research on organizational response to non-paradigmatic change by studying an irregular yet increasingly important form of organizing: meta-organizations (MOs), i.e., associations whose members are organizations, rather than individuals. We use extensive revelatory ﬁeld data from three longitudinal case studies of German industry associations and their reactions to the emergence of online trade to show that MOs, similar to other organizations, respond with inertia when they are confronted with discontinuous breakthroughs. However, our data also demonstrate that MO inertia is idiosyncratic in that it stems from distinct MO characteristics, particularly a culture of consensus and an elitist identity, which in turn reinforce MOs’ lack of champions, limited environmental intimacy, and protracted decision-making. We also ﬁnd that inertial forces in MOs are partially offset by various enablers of change that are either anchored in a given MO’s constitution or embedded in its routines. We contribute to existing research on discontinuous change and theory of MOs by inducing a formal model of MO inertia and its underlying mechanisms. Our mid-range theory has important implications for the administration of MOs, in particular during periods of environmental turbulence.","container-title":"Research Policy","DOI":"10.1016/j.respol.2012.03.006","ISSN":"00487333","issue":"8","language":"en","page":"1325-1343","source":"Crossref","title":"Inertia in response to non-paradigmatic change: The case of meta-organizations","title-short":"Inertia in response to non-paradigmatic change","volume":"41","author":[{"family":"König","given":"Andreas"},{"family":"Schulte","given":"Martin"},{"family":"Enders","given":"Albrecht"}],"issued":{"date-parts":[["2012",10]]}}}],"schema":"https://github.com/citation-style-language/schema/raw/master/csl-citation.json"} </w:instrText>
      </w:r>
      <w:r w:rsidR="009E549F">
        <w:fldChar w:fldCharType="separate"/>
      </w:r>
      <w:r w:rsidR="009E549F" w:rsidRPr="009E549F">
        <w:rPr>
          <w:rFonts w:ascii="Calibri" w:hAnsi="Calibri" w:cs="Calibri"/>
          <w:szCs w:val="24"/>
        </w:rPr>
        <w:t>(König et al., 2012)</w:t>
      </w:r>
      <w:r w:rsidR="009E549F">
        <w:fldChar w:fldCharType="end"/>
      </w:r>
      <w:r w:rsidR="00B478EE">
        <w:t>. E</w:t>
      </w:r>
      <w:r w:rsidR="00285A88">
        <w:t xml:space="preserve">lle a pour </w:t>
      </w:r>
      <w:r w:rsidR="00724837">
        <w:t>fonction</w:t>
      </w:r>
      <w:r w:rsidR="00285A88">
        <w:t xml:space="preserve"> d’animer cette </w:t>
      </w:r>
      <w:r w:rsidR="00B478EE">
        <w:t>infrastructure de collaboration</w:t>
      </w:r>
      <w:r w:rsidR="00614380">
        <w:t>,</w:t>
      </w:r>
      <w:r w:rsidR="00CD6F99">
        <w:t xml:space="preserve"> notamment en </w:t>
      </w:r>
      <w:r w:rsidR="00A54A98">
        <w:t>conduisant d</w:t>
      </w:r>
      <w:r w:rsidR="00D82116">
        <w:t xml:space="preserve">es activités stratégies destinées à renforcer la cohésion entre ses membres. Ces activités </w:t>
      </w:r>
      <w:r w:rsidR="00B64449">
        <w:t xml:space="preserve">comprennent, </w:t>
      </w:r>
      <w:r w:rsidR="00862209">
        <w:t>entre</w:t>
      </w:r>
      <w:r w:rsidR="00B64449">
        <w:t xml:space="preserve"> autres, la mutualisation de ressources</w:t>
      </w:r>
      <w:r w:rsidR="007B28F7">
        <w:t xml:space="preserve"> ainsi que la diffusion de standards</w:t>
      </w:r>
      <w:r w:rsidR="009E549F">
        <w:t xml:space="preserve"> </w:t>
      </w:r>
      <w:r w:rsidR="009E549F">
        <w:fldChar w:fldCharType="begin"/>
      </w:r>
      <w:r w:rsidR="009E549F">
        <w:instrText xml:space="preserve"> ADDIN ZOTERO_ITEM CSL_CITATION {"citationID":"K1lm732s","properties":{"formattedCitation":"(Spillman, 2018)","plainCitation":"(Spillman, 2018)","noteIndex":0},"citationItems":[{"id":346,"uris":["http://zotero.org/users/5525364/items/A4ACTX7A"],"itemData":{"id":346,"type":"article-journal","abstract":"This article summarizes a cultural perspective on trade associations and its implications for understanding their organizational features, roles, and functions. I suggest that fruitful future research should examine over time the conditions under which particular association activities become consequential, and compare trade association organization with other forms of econonomic governance and nonprofit association.","container-title":"Journal of Management Inquiry","DOI":"10.1177/1056492616688856","ISSN":"1056-4926, 1552-6542","issue":"1","language":"en","page":"16-20","source":"Crossref","title":"Meta-Organization Matters","volume":"27","author":[{"family":"Spillman","given":"Lyn"}],"issued":{"date-parts":[["2018",1]]}}}],"schema":"https://github.com/citation-style-language/schema/raw/master/csl-citation.json"} </w:instrText>
      </w:r>
      <w:r w:rsidR="009E549F">
        <w:fldChar w:fldCharType="separate"/>
      </w:r>
      <w:r w:rsidR="009E549F" w:rsidRPr="009E549F">
        <w:rPr>
          <w:rFonts w:ascii="Calibri" w:hAnsi="Calibri" w:cs="Calibri"/>
        </w:rPr>
        <w:t>(Spillman, 2018)</w:t>
      </w:r>
      <w:r w:rsidR="009E549F">
        <w:fldChar w:fldCharType="end"/>
      </w:r>
      <w:r w:rsidR="007B28F7">
        <w:t>.</w:t>
      </w:r>
    </w:p>
    <w:p w14:paraId="7A9D6624" w14:textId="70188245" w:rsidR="005B6C48" w:rsidRPr="000C65CC" w:rsidRDefault="00614380" w:rsidP="005056AC">
      <w:r>
        <w:t xml:space="preserve">Les fonctions de mutualisation </w:t>
      </w:r>
      <w:r w:rsidR="00834218">
        <w:t xml:space="preserve">des ressources et de standardisation </w:t>
      </w:r>
      <w:r w:rsidR="004C7C5C">
        <w:t>font des méta-organisations des acteurs théoriquement pertinents pour conduire un projet de SIIO</w:t>
      </w:r>
      <w:r w:rsidR="00162AC4">
        <w:t xml:space="preserve"> </w:t>
      </w:r>
      <w:r w:rsidR="00162AC4">
        <w:fldChar w:fldCharType="begin"/>
      </w:r>
      <w:r w:rsidR="00162AC4">
        <w:instrText xml:space="preserve"> ADDIN ZOTERO_ITEM CSL_CITATION {"citationID":"PioBJlIt","properties":{"formattedCitation":"(Kurnia et al., 2019; Steinfield et al., 2005)","plainCitation":"(Kurnia et al., 2019; Steinfield et al., 2005)","noteIndex":0},"citationItems":[{"id":12,"uris":["http://zotero.org/users/5525364/items/XPZR6JQ4"],"itemData":{"id":12,"type":"article-journal","abstract":"Inter-organizational information systems (IOIS) offer many potential benefits to organizations, and IOIS adoption has increased in the last few decades. However, IOIS adoption varies significantly across different contexts, and little research has investigated how contextual factors affect IOIS-adoption variances at the inter-organizational (IO) level in depth—particularly from a multilevel perspective. This paper proposes a novel multilevel framework to analyze what combinations of contextual factors at the national, industry, inter-organizational, and organizational levels influence IOIS-adoption variances at the inter-organizational level. We present an in-depth, exploratory case study of the Indonesian grocery industry that identified three inter-organizational configurations between manufacturers, distributors, and retailers with IOIS-adoption variances. We found that the combinations of multilevel contextual factors varied for each configuration and, thus, explain the IOIS-adoption variances we observed at the IO level in a nuanced and holistic way. We argue that our multilevel framework may help scholars avoid contextual fallacy by encouraging them to examine the influence of higher-level factors on IOIS-adoption variances at the IO level and to avoid the atomistic fallacy that results when they make the wrong assumption that IOIS adoption at the organizational level implies adoption at a higher level.","archive":"ABI/INFORM Collection","archive_location":"2500505569","container-title":"Communications of the Association for Information Systems","DOI":"10.17705/1CAIS.04424","language":"English","note":"publisher-place: Atlanta\npublisher: Association for Information Systems","page":"24","title":"The Impact of Multilevel Contextual Factors on IS Adoption at the Inter-organizational Level","volume":"44","author":[{"family":"Kurnia","given":"Sherah"},{"family":"Parker","given":"Craig"},{"family":"Ali","given":"Mazen"},{"literal":"Reyner Karnali"}],"issued":{"date-parts":[["2019"]]}}},{"id":1261,"uris":["http://zotero.org/users/5525364/items/86339N5M"],"itemData":{"id":1261,"type":"article-journal","abstract":"Interorganizational Systems (IOS) can have influences that extend beyond the organizations that implement them. Much can be learned at the industry-level of analysis that might not be revealed in studies conducted at the organizational level of analysis. This article summarizes a case study of one industry – the US home mortgage industry – in order to illustrate three types of industry-level phenomena that surface when examining use of interorganizational IT-driven coordination systems: collective actions among industry participants, performance effects, and structural effects. Our discussion of case results distinguishes between industry outcomes that are the net result of the accumulation of organizational actions vs. outcomes where industry-level consequences are qualitatively different from what is observed at the organizational level.","container-title":"Journal of Information Technology","DOI":"10.1057/palgrave.jit.2000051","ISSN":"0268-3962, 1466-4437","issue":"4","journalAbbreviation":"Journal of Information Technology","language":"en","page":"224-233","source":"DOI.org (Crossref)","title":"Exploring Interorganizational Systems at the Industry Level of Analysis: Evidence from the US Home Mortgage Industry","title-short":"Exploring Interorganizational Systems at the Industry Level of Analysis","volume":"20","author":[{"family":"Steinfield","given":"Charles W"},{"family":"Markus","given":"M Lynne"},{"family":"Wigand","given":"Rolf T"}],"issued":{"date-parts":[["2005",12]]}}}],"schema":"https://github.com/citation-style-language/schema/raw/master/csl-citation.json"} </w:instrText>
      </w:r>
      <w:r w:rsidR="00162AC4">
        <w:fldChar w:fldCharType="separate"/>
      </w:r>
      <w:r w:rsidR="00162AC4" w:rsidRPr="00162AC4">
        <w:rPr>
          <w:rFonts w:ascii="Calibri" w:hAnsi="Calibri" w:cs="Calibri"/>
        </w:rPr>
        <w:t>(Kurnia et al., 2019; Steinfield et al., 2005)</w:t>
      </w:r>
      <w:r w:rsidR="00162AC4">
        <w:fldChar w:fldCharType="end"/>
      </w:r>
      <w:r w:rsidR="004C7C5C">
        <w:t xml:space="preserve">. </w:t>
      </w:r>
      <w:r w:rsidR="00090280">
        <w:t>De nombreux</w:t>
      </w:r>
      <w:r w:rsidR="00AA4045">
        <w:t xml:space="preserve"> SIIO sont ainsi maintenus par des méta-organisations, tels que</w:t>
      </w:r>
      <w:r w:rsidR="000C65CC">
        <w:t xml:space="preserve"> </w:t>
      </w:r>
      <w:r w:rsidR="002406FB">
        <w:t xml:space="preserve">le réseau interbancaire </w:t>
      </w:r>
      <w:r w:rsidR="000C65CC">
        <w:t>SWIFT</w:t>
      </w:r>
      <w:r w:rsidR="00AA4045">
        <w:t xml:space="preserve"> </w:t>
      </w:r>
      <w:r w:rsidR="002406FB">
        <w:t>(</w:t>
      </w:r>
      <w:r w:rsidR="000C65CC" w:rsidRPr="000C65CC">
        <w:t xml:space="preserve">Society for Worldwide Interbank Financial </w:t>
      </w:r>
      <w:proofErr w:type="spellStart"/>
      <w:r w:rsidR="000C65CC" w:rsidRPr="000C65CC">
        <w:t>Telecommunication</w:t>
      </w:r>
      <w:proofErr w:type="spellEnd"/>
      <w:r w:rsidR="002406FB">
        <w:t>)</w:t>
      </w:r>
      <w:r w:rsidR="00862209">
        <w:t xml:space="preserve">. </w:t>
      </w:r>
      <w:r w:rsidR="00312A93">
        <w:t xml:space="preserve">Néanmoins, tous les SIIO ne sont pas produits par des méta-organisations : </w:t>
      </w:r>
      <w:r w:rsidR="00A76A61">
        <w:t xml:space="preserve">le système Sabre dans le secteur du tourisme, </w:t>
      </w:r>
      <w:r w:rsidR="00AC0FB3">
        <w:t>ou encore Amazon Marketplace dans le commerce de détail, en sont des célèbres exemples.</w:t>
      </w:r>
    </w:p>
    <w:p w14:paraId="50C79D22" w14:textId="593C246D" w:rsidR="00806F32" w:rsidRPr="00BC29C9" w:rsidRDefault="008D2360" w:rsidP="005B7F57">
      <w:pPr>
        <w:pStyle w:val="Heading3"/>
      </w:pPr>
      <w:r>
        <w:t>La disposition des méta-organisations : f</w:t>
      </w:r>
      <w:r w:rsidR="00806F32">
        <w:t>acteurs contextuels et dispositionnels</w:t>
      </w:r>
    </w:p>
    <w:p w14:paraId="3D87308E" w14:textId="01D13988" w:rsidR="006031D6" w:rsidRDefault="00453FDE" w:rsidP="005056AC">
      <w:r>
        <w:t xml:space="preserve">Bien que les méta-organisations soient théoriquement </w:t>
      </w:r>
      <w:r w:rsidR="00F50ACF">
        <w:t xml:space="preserve">pertinentes pour faire émerger des SIIO, </w:t>
      </w:r>
      <w:r w:rsidR="009B2AF8">
        <w:t>une rapide observation permet de réaliser</w:t>
      </w:r>
      <w:r w:rsidR="00EB4B15">
        <w:t xml:space="preserve"> que beaucoup d’entre elles ne conduisent pas de projets de SIIO, même lorsque le besoin paraît s’en faire ressentir</w:t>
      </w:r>
      <w:r w:rsidR="000C2EE2">
        <w:t xml:space="preserve"> </w:t>
      </w:r>
      <w:r w:rsidR="000C2EE2">
        <w:fldChar w:fldCharType="begin"/>
      </w:r>
      <w:r w:rsidR="000C2EE2">
        <w:instrText xml:space="preserve"> ADDIN ZOTERO_ITEM CSL_CITATION {"citationID":"CjRknIzU","properties":{"formattedCitation":"(K\\uc0\\u246{}nig et al., 2012)","plainCitation":"(König et al., 2012)","noteIndex":0},"citationItems":[{"id":287,"uris":["http://zotero.org/users/5525364/items/D5BRKDB6"],"itemData":{"id":287,"type":"article-journal","abstract":"We add a new perspective to research on organizational response to non-paradigmatic change by studying an irregular yet increasingly important form of organizing: meta-organizations (MOs), i.e., associations whose members are organizations, rather than individuals. We use extensive revelatory ﬁeld data from three longitudinal case studies of German industry associations and their reactions to the emergence of online trade to show that MOs, similar to other organizations, respond with inertia when they are confronted with discontinuous breakthroughs. However, our data also demonstrate that MO inertia is idiosyncratic in that it stems from distinct MO characteristics, particularly a culture of consensus and an elitist identity, which in turn reinforce MOs’ lack of champions, limited environmental intimacy, and protracted decision-making. We also ﬁnd that inertial forces in MOs are partially offset by various enablers of change that are either anchored in a given MO’s constitution or embedded in its routines. We contribute to existing research on discontinuous change and theory of MOs by inducing a formal model of MO inertia and its underlying mechanisms. Our mid-range theory has important implications for the administration of MOs, in particular during periods of environmental turbulence.","container-title":"Research Policy","DOI":"10.1016/j.respol.2012.03.006","ISSN":"00487333","issue":"8","language":"en","page":"1325-1343","source":"Crossref","title":"Inertia in response to non-paradigmatic change: The case of meta-organizations","title-short":"Inertia in response to non-paradigmatic change","volume":"41","author":[{"family":"König","given":"Andreas"},{"family":"Schulte","given":"Martin"},{"family":"Enders","given":"Albrecht"}],"issued":{"date-parts":[["2012",10]]}}}],"schema":"https://github.com/citation-style-language/schema/raw/master/csl-citation.json"} </w:instrText>
      </w:r>
      <w:r w:rsidR="000C2EE2">
        <w:fldChar w:fldCharType="separate"/>
      </w:r>
      <w:r w:rsidR="000C2EE2" w:rsidRPr="000C2EE2">
        <w:rPr>
          <w:rFonts w:ascii="Calibri" w:hAnsi="Calibri" w:cs="Calibri"/>
          <w:szCs w:val="24"/>
        </w:rPr>
        <w:t>(König et al., 2012)</w:t>
      </w:r>
      <w:r w:rsidR="000C2EE2">
        <w:fldChar w:fldCharType="end"/>
      </w:r>
      <w:r w:rsidR="00EB4B15">
        <w:t>.</w:t>
      </w:r>
      <w:r w:rsidR="006031D6">
        <w:t xml:space="preserve"> L’on peut penser aux entreprises de taxi </w:t>
      </w:r>
      <w:r w:rsidR="00E30E61">
        <w:t xml:space="preserve">qui peinent à </w:t>
      </w:r>
      <w:r w:rsidR="00EE0D13">
        <w:t xml:space="preserve">s’équiper d’une solution permettant de </w:t>
      </w:r>
      <w:r w:rsidR="005E0B5E">
        <w:t xml:space="preserve">concurrencer </w:t>
      </w:r>
      <w:r w:rsidR="00E30E61">
        <w:t>Uber,</w:t>
      </w:r>
      <w:r w:rsidR="008F447C">
        <w:t xml:space="preserve"> comme aux hôteliers face à Booking.com.</w:t>
      </w:r>
    </w:p>
    <w:p w14:paraId="0E1A7B4A" w14:textId="6171C8A4" w:rsidR="00156EA9" w:rsidRDefault="00FB462A" w:rsidP="005056AC">
      <w:r>
        <w:t xml:space="preserve">La disposition au changement peut être définie comme l’ensemble des facteurs </w:t>
      </w:r>
      <w:r w:rsidR="00237EB3">
        <w:t>compos</w:t>
      </w:r>
      <w:r w:rsidR="000C2EE2">
        <w:t>a</w:t>
      </w:r>
      <w:r w:rsidR="00237EB3">
        <w:t xml:space="preserve">nt l’intérêt et la capacité d’une organisation à </w:t>
      </w:r>
      <w:r w:rsidR="00877044">
        <w:t>conduire un changement</w:t>
      </w:r>
      <w:r w:rsidR="00023503">
        <w:t xml:space="preserve"> (facteurs contextuels) </w:t>
      </w:r>
      <w:r w:rsidR="00023503">
        <w:fldChar w:fldCharType="begin"/>
      </w:r>
      <w:r w:rsidR="00023503">
        <w:instrText xml:space="preserve"> ADDIN ZOTERO_ITEM CSL_CITATION {"citationID":"9WcYD9MH","properties":{"formattedCitation":"(Shahrasbi &amp; Par\\uc0\\u233{}, 2014)","plainCitation":"(Shahrasbi &amp; Paré, 2014)","noteIndex":0},"citationItems":[{"id":1243,"uris":["http://zotero.org/users/5525364/items/2QGZZ2FL"],"itemData":{"id":1243,"type":"article-journal","abstract":"The organizational readiness construct has been investigated in information systems (IS) research for more than two decades and has yielded tremendous insights on topics such as IS organizational adoption, IS organizational use and institutionalization, IS project success, and knowledge acquisition and sharing. Notwithstanding the strong implications of this construct for our discipline, a critical and comprehensive assessment of the conceptualization of organizational readiness in IS research has not yet been conducted. Thus, this review article proposes to fill this gap and reflects on the conceptualization of organizational readiness in prior IS literature. Building upon the recommendations made by change management theorists, it proposes a new, yet multi-dimensional conceptualization of organizational readiness, including two overarching dimensions and nine sub-dimensions. We discuss how the proposed conceptualization is likely to offer a richer understanding of this construct in the IS discipline.","container-title":"Unpublished","DOI":"10.13140/rg.2.1.3470.8564","language":"en","source":"DataCite","title":"Rethinking the Concept of Organizational Readiness: What Can IS Researchers Learn from the Change Management Field?","title-short":"Rethinking the Concept of Organizational Readiness","URL":"http://rgdoi.net/10.13140/RG.2.1.3470.8564","author":[{"family":"Shahrasbi","given":"Nasser"},{"family":"Paré","given":"Guy"}],"accessed":{"date-parts":[["2019",3,25]]},"issued":{"date-parts":[["2014"]]}}}],"schema":"https://github.com/citation-style-language/schema/raw/master/csl-citation.json"} </w:instrText>
      </w:r>
      <w:r w:rsidR="00023503">
        <w:fldChar w:fldCharType="separate"/>
      </w:r>
      <w:r w:rsidR="00023503" w:rsidRPr="00DB1526">
        <w:rPr>
          <w:rFonts w:ascii="Calibri" w:hAnsi="Calibri" w:cs="Calibri"/>
          <w:szCs w:val="24"/>
        </w:rPr>
        <w:t>(Shahrasbi &amp; Paré, 2014)</w:t>
      </w:r>
      <w:r w:rsidR="00023503">
        <w:fldChar w:fldCharType="end"/>
      </w:r>
      <w:r w:rsidR="00877044">
        <w:t>. La littérature scientifique</w:t>
      </w:r>
      <w:r w:rsidR="005C4914">
        <w:t xml:space="preserve"> </w:t>
      </w:r>
      <w:r w:rsidR="00036CB8">
        <w:t xml:space="preserve">en changement organisationnel </w:t>
      </w:r>
      <w:r w:rsidR="005C4914">
        <w:t xml:space="preserve">a </w:t>
      </w:r>
      <w:r w:rsidR="00036CB8">
        <w:t xml:space="preserve">relevé que </w:t>
      </w:r>
      <w:r w:rsidR="00AD4C45">
        <w:t>certains</w:t>
      </w:r>
      <w:r w:rsidR="00036CB8">
        <w:t xml:space="preserve"> facteurs </w:t>
      </w:r>
      <w:r w:rsidR="00AD4C45">
        <w:t>relèvent</w:t>
      </w:r>
      <w:r w:rsidR="005C4914">
        <w:t xml:space="preserve"> d</w:t>
      </w:r>
      <w:r w:rsidR="00684A73">
        <w:t>’éléments internes à</w:t>
      </w:r>
      <w:r w:rsidR="005C4914">
        <w:t xml:space="preserve"> l’organisation (</w:t>
      </w:r>
      <w:r w:rsidR="0037537B">
        <w:t>facteurs dispositionnels)</w:t>
      </w:r>
      <w:r w:rsidR="00684A73">
        <w:t>, tandis que d’autres relèvent de son environnement externe</w:t>
      </w:r>
      <w:r w:rsidR="0041350D">
        <w:t xml:space="preserve"> </w:t>
      </w:r>
      <w:r w:rsidR="0041350D">
        <w:fldChar w:fldCharType="begin"/>
      </w:r>
      <w:r w:rsidR="0041350D">
        <w:instrText xml:space="preserve"> ADDIN ZOTERO_ITEM CSL_CITATION {"citationID":"Khz0ioEG","properties":{"formattedCitation":"(Robey et al., 2008)","plainCitation":"(Robey et al., 2008)","noteIndex":0},"citationItems":[{"id":1145,"uris":["http://zotero.org/users/5525364/items/V6C4BUX5"],"itemData":{"id":1145,"type":"article-journal","abstract":"This paper guides the theoretical development of future research on interorganizational systems (IOS). We first assess past IOS research by reviewing and summarizing the findings of 51 empirical studies of IOS published in 11 IS journals between 1990 and 2003. This literature addresses three primary issues: (1) factors influencing organizational decisions to adopt IOS; (2) the impact of IOS on governance over economic transactions; and (3) the organizational consequences of IOS adoption. From our assessment of the findings and theoretical approaches taken in past research, we offer three recommendations for future research. First, the theoretical foundations of IOS research during this period are diverse, representing 17 different yet complementary theories. We recommend that researchers continue to diversify their theoretical approaches in order to address new research challenges. Second, we recommend that IOS researchers move beyond mere descriptions of IOS artifacts by engaging with IOS artifacts on theoretical grounds. Third, we identify and describe new theoretical directions for future IOS research in each of the main issue areas.","container-title":"Journal of the Association for Information Systems","DOI":"10.17705/1jais.00171","ISSN":"15369323","issue":"9","journalAbbreviation":"JAIS","language":"en","page":"497-518","source":"DOI.org (Crossref)","title":"Theoretical Foundations of Empirical Research on Interorganizational Systems: Assessing Past Contributions and Guiding Future Directions","title-short":"Theoretical Foundations of Empirical Research on Interorganizational Systems","volume":"9","author":[{"family":"Robey","given":"Daniel"},{"family":"Im","given":"Ghiyoung"},{"family":"Wareham","given":"Jonathan D"}],"issued":{"date-parts":[["2008",9]]}}}],"schema":"https://github.com/citation-style-language/schema/raw/master/csl-citation.json"} </w:instrText>
      </w:r>
      <w:r w:rsidR="0041350D">
        <w:fldChar w:fldCharType="separate"/>
      </w:r>
      <w:r w:rsidR="0041350D" w:rsidRPr="0041350D">
        <w:rPr>
          <w:rFonts w:ascii="Calibri" w:hAnsi="Calibri" w:cs="Calibri"/>
        </w:rPr>
        <w:t>(Robey et al., 2008)</w:t>
      </w:r>
      <w:r w:rsidR="0041350D">
        <w:fldChar w:fldCharType="end"/>
      </w:r>
      <w:r w:rsidR="00684A73">
        <w:t>.</w:t>
      </w:r>
    </w:p>
    <w:p w14:paraId="5C256AC7" w14:textId="62F6F9EE" w:rsidR="00BD7044" w:rsidRPr="004757C2" w:rsidRDefault="000D2496" w:rsidP="005056AC">
      <w:r>
        <w:t xml:space="preserve">Nous avons mobilisé cette approche pour comprendre la disposition d’une méta-organisation à opérer un changement </w:t>
      </w:r>
      <w:r w:rsidR="00A834BA">
        <w:t>en contribuant à</w:t>
      </w:r>
      <w:r>
        <w:t xml:space="preserve"> l’émergence d’un SIIO</w:t>
      </w:r>
      <w:r w:rsidR="00A834BA">
        <w:t xml:space="preserve"> au sein de son champ organisationnel.</w:t>
      </w:r>
      <w:r w:rsidR="00CA5B11">
        <w:t xml:space="preserve"> Nous </w:t>
      </w:r>
      <w:r w:rsidR="00201808">
        <w:t>choisissons d’appréhender</w:t>
      </w:r>
      <w:r w:rsidR="00CA5B11">
        <w:t xml:space="preserve"> le </w:t>
      </w:r>
      <w:r w:rsidR="00CA5B11" w:rsidRPr="00201808">
        <w:rPr>
          <w:i/>
          <w:iCs/>
        </w:rPr>
        <w:t>contexte interne</w:t>
      </w:r>
      <w:r w:rsidR="00CA5B11">
        <w:t xml:space="preserve"> d’une méta-organisation (facteurs dispositionnels) de manière restrictive</w:t>
      </w:r>
      <w:r w:rsidR="00201808">
        <w:t> : nous</w:t>
      </w:r>
      <w:r w:rsidR="00B80B6B">
        <w:t xml:space="preserve"> </w:t>
      </w:r>
      <w:r w:rsidR="00713290">
        <w:t>n’</w:t>
      </w:r>
      <w:r w:rsidR="00201808">
        <w:t xml:space="preserve">y incluons que les facteurs qui relèvent de la </w:t>
      </w:r>
      <w:r w:rsidR="00B80B6B">
        <w:t>méta-organisation en tant qu’entité (gouvernance, processus décisionnels</w:t>
      </w:r>
      <w:r w:rsidR="00A41ED2">
        <w:t>, ressources internes</w:t>
      </w:r>
      <w:r w:rsidR="00BD7044">
        <w:t>…</w:t>
      </w:r>
      <w:r w:rsidR="00A41ED2">
        <w:t>), mais nous en excluons les facteurs qui relèvent de ses membres ou des interactions entre membres (</w:t>
      </w:r>
      <w:r w:rsidR="00BD7044">
        <w:t xml:space="preserve">confiance inter-organisationnelle, relations de dépendance ou de domination…). En outre, </w:t>
      </w:r>
      <w:r w:rsidR="00FC21FD">
        <w:t xml:space="preserve">le terme de </w:t>
      </w:r>
      <w:r w:rsidR="00FC21FD">
        <w:rPr>
          <w:i/>
          <w:iCs/>
        </w:rPr>
        <w:t>contribuer à l’émergenc</w:t>
      </w:r>
      <w:r w:rsidR="004757C2">
        <w:rPr>
          <w:i/>
          <w:iCs/>
        </w:rPr>
        <w:t>e d’un SIIO</w:t>
      </w:r>
      <w:r w:rsidR="004757C2">
        <w:t xml:space="preserve"> </w:t>
      </w:r>
      <w:r w:rsidR="00F517AE">
        <w:t xml:space="preserve">est destiné à englober une large </w:t>
      </w:r>
      <w:r w:rsidR="004757C2">
        <w:t>diversité d’actions</w:t>
      </w:r>
      <w:r w:rsidR="00F517AE">
        <w:t xml:space="preserve"> possibles</w:t>
      </w:r>
      <w:r w:rsidR="004757C2">
        <w:t xml:space="preserve"> : </w:t>
      </w:r>
      <w:r w:rsidR="00C51E5F">
        <w:t>une méta-organisation peut se limiter à promouvoir</w:t>
      </w:r>
      <w:r w:rsidR="00F517AE">
        <w:t xml:space="preserve"> </w:t>
      </w:r>
      <w:r w:rsidR="00C51E5F">
        <w:t xml:space="preserve">une solution existante envers ses organisations-membres, ou </w:t>
      </w:r>
      <w:r w:rsidR="00B86E9B">
        <w:t>adopter</w:t>
      </w:r>
      <w:r w:rsidR="00C51E5F">
        <w:t xml:space="preserve"> une posture </w:t>
      </w:r>
      <w:r w:rsidR="00B86E9B">
        <w:t xml:space="preserve">davantage </w:t>
      </w:r>
      <w:r w:rsidR="00C51E5F">
        <w:t>entrepreneuriale</w:t>
      </w:r>
      <w:r w:rsidR="00B86E9B">
        <w:t xml:space="preserve"> consistant à concevoir elle-même un nouveau SIIO.</w:t>
      </w:r>
    </w:p>
    <w:p w14:paraId="3858329B" w14:textId="5059B855" w:rsidR="00FB07CC" w:rsidRDefault="00AF06AA" w:rsidP="00B9385C">
      <w:pPr>
        <w:pStyle w:val="Heading2"/>
      </w:pPr>
      <w:bookmarkStart w:id="4" w:name="_Toc115454544"/>
      <w:r>
        <w:t>Résultats de l’étude théorique et objectifs de l’étude empirique</w:t>
      </w:r>
      <w:bookmarkEnd w:id="4"/>
    </w:p>
    <w:p w14:paraId="583A598F" w14:textId="70859574" w:rsidR="00A11760" w:rsidRDefault="002748A1" w:rsidP="005056AC">
      <w:r>
        <w:t>Le premier livrable de notre recherche consistait à identifier parmi la littérature scientifique quels étaient les facteurs qui pouvaient influencer la disposition des méta-organisations à contribuer à l’émergence d’un SIIO.</w:t>
      </w:r>
      <w:r w:rsidR="002327C6">
        <w:t xml:space="preserve"> </w:t>
      </w:r>
      <w:r w:rsidR="00C62F2F">
        <w:t xml:space="preserve">La littérature sur les méta-organisations et les SIIO est toutefois </w:t>
      </w:r>
      <w:r w:rsidR="00F02432">
        <w:t>trop pauvre pour faire l’objet à elle seule d’une revue systématique. Nous avons donc choisi d’étendre la recherche à la disposition d</w:t>
      </w:r>
      <w:r w:rsidR="00ED78B3">
        <w:t>es méta-organisations à contribuer à l’émergence de standards (techniques et non-techniques) à leurs champs.</w:t>
      </w:r>
    </w:p>
    <w:p w14:paraId="3C930A19" w14:textId="0ED0725F" w:rsidR="002748A1" w:rsidRDefault="002748A1" w:rsidP="005056AC">
      <w:r>
        <w:t>Tel</w:t>
      </w:r>
      <w:r w:rsidR="00A11760">
        <w:t xml:space="preserve"> qu’expliqué</w:t>
      </w:r>
      <w:r>
        <w:t xml:space="preserve"> dans la sous-section précédente (2.2), </w:t>
      </w:r>
      <w:r w:rsidR="00A11760">
        <w:t xml:space="preserve">nous avons catégorisé les facteurs selon deux dimensions constitutives de la disposition des méta-organisations au changement : les facteurs </w:t>
      </w:r>
      <w:r w:rsidR="0024555C">
        <w:t>dispositionnels, et les facteurs contextuels. En outre, nous avons catégorisé les facteurs selon quatre niveaux : national, sectoriel, inter-organisationnel, et organisationnel.</w:t>
      </w:r>
    </w:p>
    <w:p w14:paraId="6DC05471" w14:textId="28382BA3" w:rsidR="00DA4848" w:rsidRDefault="00DA4848" w:rsidP="005056AC">
      <w:r>
        <w:t>Une revue systématique de la littérature nous a permis de faire émerger</w:t>
      </w:r>
      <w:r w:rsidR="002465AD">
        <w:t xml:space="preserve"> une</w:t>
      </w:r>
      <w:r w:rsidR="00D45C9E">
        <w:t xml:space="preserve"> quarantaine de facteurs, </w:t>
      </w:r>
      <w:proofErr w:type="gramStart"/>
      <w:r w:rsidR="00D45C9E">
        <w:t>ayant</w:t>
      </w:r>
      <w:proofErr w:type="gramEnd"/>
      <w:r w:rsidR="00D45C9E">
        <w:t xml:space="preserve"> une influence potentiellement positive ou négative sur la disposition des méta-organisations à contribuer à l’émergence d’un SIIO. </w:t>
      </w:r>
      <w:r w:rsidR="00DA313D">
        <w:t xml:space="preserve">La liste exhaustive de ces facteurs </w:t>
      </w:r>
      <w:r w:rsidR="00835E18">
        <w:t>peut être consultée</w:t>
      </w:r>
      <w:r w:rsidR="00DA313D">
        <w:t xml:space="preserve"> dans le premier livrable.</w:t>
      </w:r>
    </w:p>
    <w:p w14:paraId="3ECB7BCF" w14:textId="02C884DA" w:rsidR="00DA313D" w:rsidRDefault="00DE659A" w:rsidP="005056AC">
      <w:r>
        <w:t xml:space="preserve">Cette liste de livrables nécessitait néanmoins d’être opérationnalisée </w:t>
      </w:r>
      <w:r w:rsidR="003F4410">
        <w:t>afin de remplir les objectifs du mandat. En particulier, nous avions besoin de savoir :</w:t>
      </w:r>
    </w:p>
    <w:p w14:paraId="619D4AF4" w14:textId="65BFEA83" w:rsidR="003F4410" w:rsidRDefault="003F4410" w:rsidP="005056AC">
      <w:pPr>
        <w:pStyle w:val="ListParagraph"/>
        <w:numPr>
          <w:ilvl w:val="0"/>
          <w:numId w:val="12"/>
        </w:numPr>
      </w:pPr>
      <w:r>
        <w:t xml:space="preserve">Les facteurs identifiés </w:t>
      </w:r>
      <w:r w:rsidR="00ED78B3">
        <w:t xml:space="preserve">dans le contexte de l’émergence de standards s’appliquent-ils à </w:t>
      </w:r>
      <w:r w:rsidR="00136FE6">
        <w:t>l’émergence de SIIO?</w:t>
      </w:r>
    </w:p>
    <w:p w14:paraId="6487A94C" w14:textId="602F8B9F" w:rsidR="00B2027C" w:rsidRDefault="00DF6BCC" w:rsidP="005056AC">
      <w:pPr>
        <w:pStyle w:val="ListParagraph"/>
        <w:numPr>
          <w:ilvl w:val="0"/>
          <w:numId w:val="12"/>
        </w:numPr>
      </w:pPr>
      <w:r>
        <w:t>L</w:t>
      </w:r>
      <w:r w:rsidR="00287230">
        <w:t>’ensemble des facteurs s’expriment-ils lors de la conduite d’un projet visant à faire émerger un SIIO?</w:t>
      </w:r>
      <w:r w:rsidR="009D7287">
        <w:t xml:space="preserve"> Certains prévalent-ils sur d’autres?</w:t>
      </w:r>
    </w:p>
    <w:p w14:paraId="1B0C4C99" w14:textId="4C2CB315" w:rsidR="001D0031" w:rsidRDefault="001D0031" w:rsidP="005056AC">
      <w:pPr>
        <w:pStyle w:val="ListParagraph"/>
        <w:numPr>
          <w:ilvl w:val="0"/>
          <w:numId w:val="12"/>
        </w:numPr>
      </w:pPr>
      <w:r>
        <w:t>Les facteurs interagissent-ils entre eux? Comment?</w:t>
      </w:r>
    </w:p>
    <w:p w14:paraId="69DF0D95" w14:textId="2A68FFB9" w:rsidR="005210EF" w:rsidRPr="002748A1" w:rsidRDefault="005210EF" w:rsidP="005056AC">
      <w:r>
        <w:t>Nous nous sommes attachés à traiter de ces questions par une recherche empirique, qui fait l’objet du présent livrable.</w:t>
      </w:r>
    </w:p>
    <w:p w14:paraId="18F4D8C4" w14:textId="1FEF0DAB" w:rsidR="005F7A23" w:rsidRDefault="00E00F9E" w:rsidP="00B9385C">
      <w:pPr>
        <w:pStyle w:val="Heading2"/>
      </w:pPr>
      <w:bookmarkStart w:id="5" w:name="_Toc115454545"/>
      <w:r>
        <w:t>Question de recherche</w:t>
      </w:r>
      <w:bookmarkEnd w:id="5"/>
    </w:p>
    <w:p w14:paraId="337BBB84" w14:textId="5A5E13BA" w:rsidR="00E74C77" w:rsidRDefault="00387E2C" w:rsidP="005056AC">
      <w:r>
        <w:t xml:space="preserve">Le présent rapport traite de la question de recherche suivante : quels sont les </w:t>
      </w:r>
      <w:r w:rsidR="00E74C77">
        <w:t>facteurs influençant la disposition des méta-organisations à contribuer à</w:t>
      </w:r>
      <w:r>
        <w:t xml:space="preserve"> </w:t>
      </w:r>
      <w:r w:rsidR="005736DF">
        <w:t>l’émergence de systèmes d’information inter-organisationnels</w:t>
      </w:r>
      <w:r w:rsidR="00E74C77">
        <w:t>,</w:t>
      </w:r>
      <w:r w:rsidR="002B7A21">
        <w:t xml:space="preserve"> et comment le </w:t>
      </w:r>
      <w:r w:rsidR="002B7A21" w:rsidRPr="008F13CF">
        <w:t>Plan d’action favorisant un gouvernement ouvert 202</w:t>
      </w:r>
      <w:r w:rsidR="00D57F8B">
        <w:t>3</w:t>
      </w:r>
      <w:r w:rsidR="002B7A21" w:rsidRPr="008F13CF">
        <w:t>-202</w:t>
      </w:r>
      <w:r w:rsidR="00D57F8B">
        <w:t>5</w:t>
      </w:r>
      <w:r w:rsidR="002B7A21">
        <w:t xml:space="preserve"> pourrait-il renforcer cette disposition au changement?</w:t>
      </w:r>
    </w:p>
    <w:p w14:paraId="442318E9" w14:textId="77777777" w:rsidR="00387E2C" w:rsidRDefault="00387E2C" w:rsidP="005056AC">
      <w:r>
        <w:t>Cette question de recherche comprend trois sous-questions :</w:t>
      </w:r>
    </w:p>
    <w:p w14:paraId="48C5161A" w14:textId="1FCEECA5" w:rsidR="00291AEA" w:rsidRDefault="00291AEA" w:rsidP="005056AC">
      <w:pPr>
        <w:pStyle w:val="ListParagraph"/>
        <w:numPr>
          <w:ilvl w:val="0"/>
          <w:numId w:val="14"/>
        </w:numPr>
        <w:rPr>
          <w:lang w:val="fr-FR"/>
        </w:rPr>
      </w:pPr>
      <w:r>
        <w:rPr>
          <w:lang w:val="fr-FR"/>
        </w:rPr>
        <w:t xml:space="preserve">Pourquoi et comment les méta-organisations québécoises peuvent-elles </w:t>
      </w:r>
      <w:r w:rsidR="000D7C66">
        <w:rPr>
          <w:lang w:val="fr-FR"/>
        </w:rPr>
        <w:t>contribuer à l’émergence de SIIO ?</w:t>
      </w:r>
    </w:p>
    <w:p w14:paraId="117F822E" w14:textId="06939213" w:rsidR="00387E2C" w:rsidRPr="002B7A21" w:rsidRDefault="000D7C66" w:rsidP="005056AC">
      <w:pPr>
        <w:pStyle w:val="ListParagraph"/>
        <w:numPr>
          <w:ilvl w:val="0"/>
          <w:numId w:val="14"/>
        </w:numPr>
        <w:rPr>
          <w:lang w:val="fr-FR"/>
        </w:rPr>
      </w:pPr>
      <w:r>
        <w:rPr>
          <w:lang w:val="fr-FR"/>
        </w:rPr>
        <w:t xml:space="preserve">Quels sont les </w:t>
      </w:r>
      <w:r w:rsidR="00104AAA">
        <w:rPr>
          <w:lang w:val="fr-FR"/>
        </w:rPr>
        <w:t>principaux facteurs influençant la disposition des méta-organisations à contribuer à l’émergence de SIIO ? Ces facteurs interagissent-ils entre eux ? Comment ?</w:t>
      </w:r>
    </w:p>
    <w:p w14:paraId="3B4045ED" w14:textId="5C279BF9" w:rsidR="00387E2C" w:rsidRPr="002B7A21" w:rsidRDefault="005108BB" w:rsidP="005056AC">
      <w:pPr>
        <w:pStyle w:val="ListParagraph"/>
        <w:numPr>
          <w:ilvl w:val="0"/>
          <w:numId w:val="14"/>
        </w:numPr>
        <w:rPr>
          <w:lang w:val="fr-FR"/>
        </w:rPr>
      </w:pPr>
      <w:r>
        <w:rPr>
          <w:lang w:val="fr-FR"/>
        </w:rPr>
        <w:t>Comment le</w:t>
      </w:r>
      <w:r w:rsidRPr="005108BB">
        <w:t xml:space="preserve"> </w:t>
      </w:r>
      <w:r w:rsidRPr="008F13CF">
        <w:t>Plan d’action favorisant un gouvernement ouvert 202</w:t>
      </w:r>
      <w:r w:rsidR="00D57F8B">
        <w:t>3</w:t>
      </w:r>
      <w:r w:rsidRPr="008F13CF">
        <w:t>-202</w:t>
      </w:r>
      <w:r w:rsidR="00D57F8B">
        <w:t>5</w:t>
      </w:r>
      <w:r>
        <w:t xml:space="preserve"> peut-il agir sur ces facteurs ?</w:t>
      </w:r>
    </w:p>
    <w:p w14:paraId="40FB9DDE" w14:textId="2E57E265" w:rsidR="005F7A23" w:rsidRDefault="00E00F9E" w:rsidP="00B374E6">
      <w:pPr>
        <w:pStyle w:val="Heading1"/>
      </w:pPr>
      <w:bookmarkStart w:id="6" w:name="_Toc115454546"/>
      <w:r>
        <w:t>Méthodologie</w:t>
      </w:r>
      <w:bookmarkEnd w:id="6"/>
    </w:p>
    <w:p w14:paraId="7C95179D" w14:textId="14B63FD6" w:rsidR="00CD394D" w:rsidRPr="00CD394D" w:rsidRDefault="00CD394D" w:rsidP="005056AC">
      <w:r>
        <w:t>Nous avons défini un design de la recherche (section 3.1), dont nous avons déduit un</w:t>
      </w:r>
      <w:r w:rsidR="00FA2CB2">
        <w:t xml:space="preserve"> échantillon de cas d’étude (section 3.2)</w:t>
      </w:r>
      <w:r w:rsidR="008D5D1C">
        <w:t xml:space="preserve"> à partir desquels nous avons collecté et analysé les données empiriques </w:t>
      </w:r>
      <w:r w:rsidR="007C4577">
        <w:t xml:space="preserve">(section 3.3), </w:t>
      </w:r>
      <w:r w:rsidR="0093436B">
        <w:t>tout en mettant en place une stratégie de qualité de la recherche (section 3.4)</w:t>
      </w:r>
      <w:r w:rsidR="00882076">
        <w:t>,</w:t>
      </w:r>
      <w:r w:rsidR="007C4577">
        <w:t xml:space="preserve"> permettant de répondre à notre question de recherche.</w:t>
      </w:r>
    </w:p>
    <w:p w14:paraId="4C7A71B9" w14:textId="7018A233" w:rsidR="00E00F9E" w:rsidRDefault="005F7A23" w:rsidP="00B9385C">
      <w:pPr>
        <w:pStyle w:val="Heading2"/>
      </w:pPr>
      <w:bookmarkStart w:id="7" w:name="_Toc115454547"/>
      <w:r>
        <w:t>Design de la recherche</w:t>
      </w:r>
      <w:bookmarkEnd w:id="7"/>
    </w:p>
    <w:p w14:paraId="6AE8FF3F" w14:textId="01169539" w:rsidR="00992573" w:rsidRDefault="00C31190" w:rsidP="005056AC">
      <w:r>
        <w:t>Notre</w:t>
      </w:r>
      <w:r w:rsidR="00595026">
        <w:t xml:space="preserve"> </w:t>
      </w:r>
      <w:r w:rsidR="00126401">
        <w:t>recherche</w:t>
      </w:r>
      <w:r w:rsidR="00595026">
        <w:t xml:space="preserve"> repose sur </w:t>
      </w:r>
      <w:r w:rsidR="00992573">
        <w:t>deux</w:t>
      </w:r>
      <w:r w:rsidR="00A64B0B">
        <w:t xml:space="preserve"> postulat</w:t>
      </w:r>
      <w:r w:rsidR="00992573">
        <w:t>s</w:t>
      </w:r>
      <w:r w:rsidR="00A64B0B">
        <w:t xml:space="preserve"> important</w:t>
      </w:r>
      <w:r w:rsidR="00992573">
        <w:t>s. Premièrement, nous postulons que</w:t>
      </w:r>
      <w:r w:rsidR="00953A07">
        <w:t xml:space="preserve"> </w:t>
      </w:r>
      <w:r w:rsidR="00475A78">
        <w:t xml:space="preserve">les innovations numériques </w:t>
      </w:r>
      <w:r w:rsidR="00A64B0B">
        <w:t>se diffusent comme des</w:t>
      </w:r>
      <w:r w:rsidR="00475A78">
        <w:t xml:space="preserve"> récits organisationnels</w:t>
      </w:r>
      <w:r w:rsidR="003F7173">
        <w:t xml:space="preserve"> </w:t>
      </w:r>
      <w:r w:rsidR="003F7173">
        <w:fldChar w:fldCharType="begin"/>
      </w:r>
      <w:r w:rsidR="003F7173">
        <w:instrText xml:space="preserve"> ADDIN ZOTERO_ITEM CSL_CITATION {"citationID":"BSNmwRSP","properties":{"formattedCitation":"(Wang &amp; Ramiller, 2009)","plainCitation":"(Wang &amp; Ramiller, 2009)","noteIndex":0},"citationItems":[{"id":1182,"uris":["http://zotero.org/users/5525364/items/AMZTG4I9"],"itemData":{"id":1182,"type":"article-journal","abstract":"In striving to learn about an information technology innovation, organizations draw on knowledge resources available in the community of diverse interests that convenes around that innovation. But even as such organizations learn about the innovation, so too does the larger community. Community learning takes place as its members reflect upon their learning and contribute their experiences, observations, and insights to the community's on-going discourse on the innovation. Community learning and organizational learning thus build upon one another in a reciprocal cycle over time, as the stock of interpretations, adoption rationales, implementation strategies, and utilization patterns is expanded and refined. We advance an overall model of this learning cycle, drawing on two community-level theories (management fashion and organizing vision), both of which complement the dominant emphases of the literature on IT innovation and learning. Relative to this cycle, we then empirically examine, in particular, the dependence of community learning on organizational learning. Sampling the public discourse on enterprise resource planning (ERP) over a 14-year period, we explore how different kinds of organizational actors can play different roles, at different times, in contributing different types of knowledge to an innovation's public discourse. The evidence suggests that research analysts and technology vendors took leadership early on in articulating the \"know-what\" (interpretation) and \"know-why\" (rationales) for ERP, while later on adopters came to dominate the discourse as its focus shifted to the \"know-how\" (strategies and capabilities). We conclude by identifying opportunities for further inquiry on and strategic management of community learning and its interactions with organizational learning.","container-title":"MIS Quarterly","DOI":"10.2307/20650324","ISSN":"0276-7783","issue":"4","note":"publisher: Management Information Systems Research Center, University of Minnesota","page":"709-734","source":"JSTOR","title":"Community Learning in Information Technology Innovation","volume":"33","author":[{"family":"Wang","given":"Ping"},{"family":"Ramiller","given":"Neil C."}],"issued":{"date-parts":[["2009"]]}}}],"schema":"https://github.com/citation-style-language/schema/raw/master/csl-citation.json"} </w:instrText>
      </w:r>
      <w:r w:rsidR="003F7173">
        <w:fldChar w:fldCharType="separate"/>
      </w:r>
      <w:r w:rsidR="003F7173" w:rsidRPr="003F7173">
        <w:rPr>
          <w:rFonts w:ascii="Calibri" w:hAnsi="Calibri" w:cs="Calibri"/>
        </w:rPr>
        <w:t>(Wang &amp; Ramiller, 2009)</w:t>
      </w:r>
      <w:r w:rsidR="003F7173">
        <w:fldChar w:fldCharType="end"/>
      </w:r>
      <w:r w:rsidR="00475A78">
        <w:t>. Autrement dit, l’adoption d’une innovation relève d’un processus de construction de sens, impliquant à la fois l’organisation adoptante et les acteurs externes ayant un intérêt à promouvoir l’innovation. Nous nous concentrons donc sur des phénomènes sociaux et organisationnels plutôt que techniques</w:t>
      </w:r>
      <w:r w:rsidR="00FD6A09">
        <w:t xml:space="preserve"> </w:t>
      </w:r>
      <w:r w:rsidR="00FD6A09">
        <w:fldChar w:fldCharType="begin"/>
      </w:r>
      <w:r w:rsidR="00FD6A09">
        <w:instrText xml:space="preserve"> ADDIN ZOTERO_ITEM CSL_CITATION {"citationID":"YS2oMoXl","properties":{"formattedCitation":"(Orlikowski, 1996)","plainCitation":"(Orlikowski, 1996)","noteIndex":0},"citationItems":[{"id":1257,"uris":["http://zotero.org/users/5525364/items/J776SU8G"],"itemData":{"id":1257,"type":"article-journal","container-title":"Information Systems Research","issue":"1","language":"en","page":"31","source":"Zotero","title":"Improvising Organizational Transformation Over Time: A Situated Change Perspective","volume":"7","author":[{"family":"Orlikowski","given":"Wanda J"}],"issued":{"date-parts":[["1996"]]}}}],"schema":"https://github.com/citation-style-language/schema/raw/master/csl-citation.json"} </w:instrText>
      </w:r>
      <w:r w:rsidR="00FD6A09">
        <w:fldChar w:fldCharType="separate"/>
      </w:r>
      <w:r w:rsidR="00FD6A09" w:rsidRPr="00FD6A09">
        <w:rPr>
          <w:rFonts w:ascii="Calibri" w:hAnsi="Calibri" w:cs="Calibri"/>
        </w:rPr>
        <w:t>(Orlikowski, 1996)</w:t>
      </w:r>
      <w:r w:rsidR="00FD6A09">
        <w:fldChar w:fldCharType="end"/>
      </w:r>
      <w:r w:rsidR="00475A78">
        <w:t>.</w:t>
      </w:r>
      <w:r w:rsidR="00016F2F">
        <w:t xml:space="preserve"> Le design de notre recherche permet d’explorer </w:t>
      </w:r>
      <w:r w:rsidR="00894556">
        <w:t>les mécanismes qui amènent</w:t>
      </w:r>
      <w:r w:rsidR="00016F2F">
        <w:t xml:space="preserve"> une méta-organisation s’engage dans une démarche consistant à (</w:t>
      </w:r>
      <w:proofErr w:type="spellStart"/>
      <w:r w:rsidR="00016F2F">
        <w:t>co</w:t>
      </w:r>
      <w:proofErr w:type="spellEnd"/>
      <w:r w:rsidR="00016F2F">
        <w:t>-)construire et promouvoir un récit</w:t>
      </w:r>
      <w:r w:rsidR="00894556">
        <w:t>, lequel récit est destiné à promouvoir l’adoption d’un SIIO par les membres de la méta-organisation.</w:t>
      </w:r>
      <w:r w:rsidR="00FD6A09">
        <w:t xml:space="preserve"> </w:t>
      </w:r>
      <w:r w:rsidR="00992573">
        <w:t xml:space="preserve">Deuxièmement, nous postulons que les méta-organisations sont des acteurs pertinents pour contribuer à l’émergence de SIIO. Ce postulat est issu des </w:t>
      </w:r>
      <w:r w:rsidR="003707AF">
        <w:t>observations présentées dans la sous-section 2.2 ci-dessus.</w:t>
      </w:r>
      <w:r w:rsidR="00992573">
        <w:t xml:space="preserve"> </w:t>
      </w:r>
    </w:p>
    <w:p w14:paraId="2CF84B69" w14:textId="678DFC77" w:rsidR="00350C1B" w:rsidRDefault="00126401" w:rsidP="005056AC">
      <w:r>
        <w:t xml:space="preserve">Nous avons choisi de mener une étude qualitative, qui est une </w:t>
      </w:r>
      <w:r w:rsidR="00D3785C">
        <w:t xml:space="preserve">approche pertinente pour développer une compréhension approfondie d’un phénomène complexe </w:t>
      </w:r>
      <w:r w:rsidR="00330DA5">
        <w:t>au sein duquel coexiste</w:t>
      </w:r>
      <w:r w:rsidR="00D3785C">
        <w:t xml:space="preserve"> une diversité d’acteurs et </w:t>
      </w:r>
      <w:r w:rsidR="00836136">
        <w:t>de points de vue.</w:t>
      </w:r>
      <w:r w:rsidR="00CA0F5F">
        <w:t xml:space="preserve"> L’approche qualitative</w:t>
      </w:r>
      <w:r w:rsidR="00F03AAB">
        <w:t xml:space="preserve"> s’attache à comprendre comment des phénomènes émergent et évoluent au sein d’un contexte donné</w:t>
      </w:r>
      <w:r w:rsidR="00C34F25">
        <w:t xml:space="preserve"> </w:t>
      </w:r>
      <w:r w:rsidR="00C34F25">
        <w:fldChar w:fldCharType="begin"/>
      </w:r>
      <w:r w:rsidR="00C34F25">
        <w:instrText xml:space="preserve"> ADDIN ZOTERO_ITEM CSL_CITATION {"citationID":"X0wQiYmC","properties":{"formattedCitation":"(Guedri et al., 2014)","plainCitation":"(Guedri et al., 2014)","noteIndex":0},"citationItems":[{"id":4209,"uris":["http://zotero.org/users/5525364/items/GPFYIE45"],"itemData":{"id":4209,"type":"article-journal","container-title":"Revue française de gestion","ISSN":"0338-4551","issue":"3","journalAbbreviation":"Revue française de gestion","language":"fr","note":"publisher-place: Cachan\npublisher: Lavoisier","page":"13-28","source":"Cairn.info","title":"Contradictions, paradoxes et tensions en contexte(s)","volume":"240","author":[{"family":"Guedri","given":"Zied"},{"family":"Hussler","given":"Caroline"},{"family":"Loubaresse","given":"Élodie"}],"issued":{"date-parts":[["2014"]]}}}],"schema":"https://github.com/citation-style-language/schema/raw/master/csl-citation.json"} </w:instrText>
      </w:r>
      <w:r w:rsidR="00C34F25">
        <w:fldChar w:fldCharType="separate"/>
      </w:r>
      <w:r w:rsidR="00C34F25" w:rsidRPr="00C34F25">
        <w:rPr>
          <w:rFonts w:ascii="Calibri" w:hAnsi="Calibri" w:cs="Calibri"/>
        </w:rPr>
        <w:t>(Guedri et al., 2014)</w:t>
      </w:r>
      <w:r w:rsidR="00C34F25">
        <w:fldChar w:fldCharType="end"/>
      </w:r>
      <w:r w:rsidR="00F03AAB">
        <w:t>.</w:t>
      </w:r>
      <w:r w:rsidR="00FD6A09">
        <w:t xml:space="preserve"> </w:t>
      </w:r>
      <w:r w:rsidR="00827596">
        <w:t xml:space="preserve">Plus précisément, nous avons conduit une étude </w:t>
      </w:r>
      <w:r w:rsidR="000C12AA">
        <w:t>de cas multiple</w:t>
      </w:r>
      <w:r w:rsidR="00ED5DD0">
        <w:t xml:space="preserve">. Cette méthode </w:t>
      </w:r>
      <w:r w:rsidR="000C12AA">
        <w:t>permet de renforcer la transférabilité de</w:t>
      </w:r>
      <w:r w:rsidR="00ED5DD0">
        <w:t xml:space="preserve">s résultats en </w:t>
      </w:r>
      <w:r w:rsidR="005D3144">
        <w:t>sélectionnant différents</w:t>
      </w:r>
      <w:r w:rsidR="00350C1B">
        <w:t xml:space="preserve"> de contextes</w:t>
      </w:r>
      <w:r w:rsidR="005D3144">
        <w:t xml:space="preserve"> présentant une variation, tout en </w:t>
      </w:r>
      <w:r w:rsidR="0089410E">
        <w:t>assurant</w:t>
      </w:r>
      <w:r w:rsidR="005D3144">
        <w:t xml:space="preserve"> leur comparabilité</w:t>
      </w:r>
      <w:r w:rsidR="0070231D">
        <w:t xml:space="preserve"> </w:t>
      </w:r>
      <w:r w:rsidR="0070231D">
        <w:fldChar w:fldCharType="begin"/>
      </w:r>
      <w:r w:rsidR="0070231D">
        <w:instrText xml:space="preserve"> ADDIN ZOTERO_ITEM CSL_CITATION {"citationID":"qhv22SQy","properties":{"formattedCitation":"(Yin, 2014)","plainCitation":"(Yin, 2014)","noteIndex":0},"citationItems":[{"id":729,"uris":["http://zotero.org/users/5525364/items/6WJUQ7SG"],"itemData":{"id":729,"type":"book","call-number":"H62 .Y56 2014","edition":"Fifth edition","event-place":"Los Angeles","ISBN":"978-1-4522-4256-9","number-of-pages":"282","publisher":"SAGE","publisher-place":"Los Angeles","source":"Library of Congress ISBN","title":"Case study research: design and methods","title-short":"Case study research","author":[{"family":"Yin","given":"Robert K."}],"issued":{"date-parts":[["2014"]]}}}],"schema":"https://github.com/citation-style-language/schema/raw/master/csl-citation.json"} </w:instrText>
      </w:r>
      <w:r w:rsidR="0070231D">
        <w:fldChar w:fldCharType="separate"/>
      </w:r>
      <w:r w:rsidR="0070231D" w:rsidRPr="0070231D">
        <w:rPr>
          <w:rFonts w:ascii="Calibri" w:hAnsi="Calibri" w:cs="Calibri"/>
        </w:rPr>
        <w:t>(Yin, 2014)</w:t>
      </w:r>
      <w:r w:rsidR="0070231D">
        <w:fldChar w:fldCharType="end"/>
      </w:r>
      <w:r w:rsidR="005D3144">
        <w:t>.</w:t>
      </w:r>
    </w:p>
    <w:p w14:paraId="58E4FCA1" w14:textId="6D76E193" w:rsidR="005F7A23" w:rsidRDefault="005F7A23" w:rsidP="00B9385C">
      <w:pPr>
        <w:pStyle w:val="Heading2"/>
      </w:pPr>
      <w:bookmarkStart w:id="8" w:name="_Toc115454548"/>
      <w:r>
        <w:t>Sélection des cas</w:t>
      </w:r>
      <w:bookmarkEnd w:id="8"/>
    </w:p>
    <w:p w14:paraId="0FCE1B07" w14:textId="3982204B" w:rsidR="00195643" w:rsidRDefault="00CB3F03" w:rsidP="005056AC">
      <w:r>
        <w:t xml:space="preserve">Quatre critères de sélection </w:t>
      </w:r>
      <w:r w:rsidR="00195643">
        <w:t>des cas</w:t>
      </w:r>
      <w:r>
        <w:t xml:space="preserve"> ont été défini à partir des besoins du mandat. Les cas devaient présenter (</w:t>
      </w:r>
      <w:r w:rsidR="00195643">
        <w:t>a</w:t>
      </w:r>
      <w:r>
        <w:t>) un projet de SIIO</w:t>
      </w:r>
      <w:r w:rsidR="00195643">
        <w:t xml:space="preserve"> actuel</w:t>
      </w:r>
      <w:r>
        <w:t>, (</w:t>
      </w:r>
      <w:r w:rsidR="00195643">
        <w:t>b</w:t>
      </w:r>
      <w:r>
        <w:t>) impliquant une méta-organisation</w:t>
      </w:r>
      <w:r w:rsidR="00195643">
        <w:t xml:space="preserve"> (c) ainsi qu’un ministère de référence (d) sur le territoire québécois.</w:t>
      </w:r>
    </w:p>
    <w:p w14:paraId="04B8C4C2" w14:textId="492DA5DA" w:rsidR="005108BB" w:rsidRDefault="00195643" w:rsidP="005056AC">
      <w:r>
        <w:t>En outre, six</w:t>
      </w:r>
      <w:r w:rsidR="00A012B3">
        <w:t xml:space="preserve"> critères de sélection des cas ont découlé de la revue de la littérature. Il s’agissait </w:t>
      </w:r>
      <w:r w:rsidR="00DC36E5">
        <w:t xml:space="preserve">de (1) l’existence d’une perception de pression à la modernisation; (2) l’absence relative de standards d’interopérabilité au niveau sectoriel; (3) une autonomie relative de l’écosystème envers les pouvoirs publics; (4) l’existence de rapports équilibrés entre les organisations membres de l’écosystème; (5) </w:t>
      </w:r>
      <w:r w:rsidR="00933877">
        <w:t>une cohésion entre les organisations membres de l’écosystème; et (6) l’exercice d’un leadership par une organisation membre de cet écosystème. Les justifications de chacun de ces critères sont présentées dans le premier livrable.</w:t>
      </w:r>
    </w:p>
    <w:p w14:paraId="774067CB" w14:textId="7ED81452" w:rsidR="008779B4" w:rsidRDefault="008779B4" w:rsidP="005056AC">
      <w:r>
        <w:t xml:space="preserve">Notre échantillon final </w:t>
      </w:r>
      <w:r w:rsidR="0045402C">
        <w:t xml:space="preserve">comprend </w:t>
      </w:r>
      <w:r w:rsidR="00737764">
        <w:t>deux</w:t>
      </w:r>
      <w:r w:rsidR="0045402C">
        <w:t xml:space="preserve"> écosystèmes : le </w:t>
      </w:r>
      <w:r w:rsidR="00D414E3" w:rsidRPr="00AD0900">
        <w:t>Regroupement des organismes de bassins versants du Québec (ROBVQ)</w:t>
      </w:r>
      <w:r w:rsidR="00737764" w:rsidRPr="00AD0900">
        <w:t xml:space="preserve"> et </w:t>
      </w:r>
      <w:r w:rsidR="00EF2C41" w:rsidRPr="00AD0900">
        <w:t>Groupements forestiers Québec (GFQ)</w:t>
      </w:r>
      <w:r w:rsidR="00737764" w:rsidRPr="00AD0900">
        <w:t xml:space="preserve">. </w:t>
      </w:r>
      <w:r w:rsidR="0092220A" w:rsidRPr="00AD0900">
        <w:t>En complément, nous avons</w:t>
      </w:r>
      <w:r w:rsidR="00737764" w:rsidRPr="00AD0900">
        <w:t xml:space="preserve"> </w:t>
      </w:r>
      <w:r w:rsidR="0092220A" w:rsidRPr="00AD0900">
        <w:t xml:space="preserve">conduit une brève analyse documentaire afin d’identifier les projets de SIIO conduits par le </w:t>
      </w:r>
      <w:proofErr w:type="spellStart"/>
      <w:r w:rsidR="00EF2C41" w:rsidRPr="00AD0900">
        <w:t>le</w:t>
      </w:r>
      <w:proofErr w:type="spellEnd"/>
      <w:r w:rsidR="00EF2C41" w:rsidRPr="00AD0900">
        <w:t xml:space="preserve"> </w:t>
      </w:r>
      <w:r w:rsidR="00E31AC6" w:rsidRPr="00AD0900">
        <w:t>Réseau d</w:t>
      </w:r>
      <w:r w:rsidR="00DD466E" w:rsidRPr="00AD0900">
        <w:t>’</w:t>
      </w:r>
      <w:r w:rsidR="00CA2AF6" w:rsidRPr="00AD0900">
        <w:t>a</w:t>
      </w:r>
      <w:r w:rsidR="00E31AC6" w:rsidRPr="00AD0900">
        <w:t xml:space="preserve">gents </w:t>
      </w:r>
      <w:r w:rsidR="00CA2AF6" w:rsidRPr="00AD0900">
        <w:t>de</w:t>
      </w:r>
      <w:r w:rsidR="00CA343F" w:rsidRPr="00AD0900">
        <w:t xml:space="preserve"> développement</w:t>
      </w:r>
      <w:r w:rsidR="00CA2AF6" w:rsidRPr="00AD0900">
        <w:t xml:space="preserve"> culturel</w:t>
      </w:r>
      <w:r w:rsidR="00CA343F" w:rsidRPr="00AD0900">
        <w:t xml:space="preserve"> numérique (RADN).</w:t>
      </w:r>
      <w:r w:rsidR="006F2B4D">
        <w:t xml:space="preserve"> </w:t>
      </w:r>
    </w:p>
    <w:p w14:paraId="0DA2D843" w14:textId="3F60FFCC" w:rsidR="005F7A23" w:rsidRDefault="005F7A23" w:rsidP="00B9385C">
      <w:pPr>
        <w:pStyle w:val="Heading2"/>
      </w:pPr>
      <w:bookmarkStart w:id="9" w:name="_Toc115454549"/>
      <w:r>
        <w:t>Collecte et analyse de données</w:t>
      </w:r>
      <w:bookmarkEnd w:id="9"/>
    </w:p>
    <w:p w14:paraId="057449DB" w14:textId="11D8E1E7" w:rsidR="00DB72F5" w:rsidRDefault="0073726E" w:rsidP="005056AC">
      <w:r>
        <w:t>Nous avons conduit une collecte de données en trois phases, une phase correspondant à un écosystème.</w:t>
      </w:r>
      <w:r w:rsidR="00E81FF2">
        <w:t xml:space="preserve"> La première phase portait sur le cas du ROBVQ. Nous avons conduit </w:t>
      </w:r>
      <w:r w:rsidR="00823CEB">
        <w:t>huit entretiens</w:t>
      </w:r>
      <w:r w:rsidR="00CD131F">
        <w:t xml:space="preserve"> semi-dirigés</w:t>
      </w:r>
      <w:r w:rsidR="007A002F">
        <w:t xml:space="preserve"> individuels</w:t>
      </w:r>
      <w:r w:rsidR="00CD131F">
        <w:t xml:space="preserve"> d’une durée approximative d’une heure.</w:t>
      </w:r>
      <w:r w:rsidR="001B6BFB">
        <w:t xml:space="preserve"> Nous avons </w:t>
      </w:r>
      <w:r w:rsidR="007A002F">
        <w:t xml:space="preserve">recruté </w:t>
      </w:r>
      <w:r w:rsidR="00F0331D">
        <w:t>un total de huit</w:t>
      </w:r>
      <w:r w:rsidR="007A002F">
        <w:t xml:space="preserve"> participants</w:t>
      </w:r>
      <w:r w:rsidR="00F0331D">
        <w:t>, représentant quatre catégories d’acteurs</w:t>
      </w:r>
      <w:r w:rsidR="007A002F">
        <w:t xml:space="preserve"> : </w:t>
      </w:r>
      <w:r w:rsidR="00002D41">
        <w:t xml:space="preserve">employé ministériel (1), employés du ROBVQ (2), employés </w:t>
      </w:r>
      <w:r w:rsidR="008535BB">
        <w:t>des organismes de bassins versants (OBV)</w:t>
      </w:r>
      <w:r w:rsidR="00233B9A">
        <w:t xml:space="preserve"> membres du ROBVQ</w:t>
      </w:r>
      <w:r w:rsidR="008535BB">
        <w:t xml:space="preserve"> (1 participant par organisme, total de 4 organismes), employé</w:t>
      </w:r>
      <w:r w:rsidR="007A002F">
        <w:t xml:space="preserve"> </w:t>
      </w:r>
      <w:r w:rsidR="00AE41E8">
        <w:t xml:space="preserve">d’un fournisseur en solution technologiques (1). </w:t>
      </w:r>
      <w:r w:rsidR="00410126">
        <w:t xml:space="preserve">Les participants recrutés étaient tous parties prenantes </w:t>
      </w:r>
      <w:r w:rsidR="00020E89">
        <w:t xml:space="preserve">au projet </w:t>
      </w:r>
      <w:proofErr w:type="spellStart"/>
      <w:r w:rsidR="00020E89">
        <w:t>Géofluence</w:t>
      </w:r>
      <w:proofErr w:type="spellEnd"/>
      <w:r w:rsidR="00020E89">
        <w:t>, un SIIO</w:t>
      </w:r>
      <w:r w:rsidR="007B37CB">
        <w:t xml:space="preserve"> récemment</w:t>
      </w:r>
      <w:r w:rsidR="00A2494E">
        <w:t xml:space="preserve"> développé et</w:t>
      </w:r>
      <w:r w:rsidR="007B37CB">
        <w:t xml:space="preserve"> mis en production</w:t>
      </w:r>
      <w:r w:rsidR="00A2494E">
        <w:t xml:space="preserve"> par trois OBV, puis</w:t>
      </w:r>
      <w:r w:rsidR="007B37CB">
        <w:t xml:space="preserve"> </w:t>
      </w:r>
      <w:r w:rsidR="00A2494E">
        <w:t xml:space="preserve">délégué au </w:t>
      </w:r>
      <w:r w:rsidR="00410126">
        <w:t>ROBVQ</w:t>
      </w:r>
      <w:r w:rsidR="007B37CB">
        <w:t xml:space="preserve">. Nous avons également choisi de recruter un participant (OBV) ayant choisi de ne pas rejoindre l’initiative </w:t>
      </w:r>
      <w:proofErr w:type="spellStart"/>
      <w:r w:rsidR="007B37CB">
        <w:t>Géofluence</w:t>
      </w:r>
      <w:proofErr w:type="spellEnd"/>
      <w:r w:rsidR="007B37CB">
        <w:t>.</w:t>
      </w:r>
    </w:p>
    <w:p w14:paraId="7119409D" w14:textId="5CFF2484" w:rsidR="00212C03" w:rsidRDefault="001C5B1A" w:rsidP="005056AC">
      <w:r>
        <w:t xml:space="preserve">L’ensemble des entretiens ont été retranscrits et analysés à l’aide du logiciel NVivo. </w:t>
      </w:r>
      <w:r w:rsidR="005B171C">
        <w:t xml:space="preserve">L’analyse </w:t>
      </w:r>
      <w:r w:rsidR="00DB72F5">
        <w:t xml:space="preserve">a été </w:t>
      </w:r>
      <w:r w:rsidR="00212C03">
        <w:t>effectuée en deux étapes :</w:t>
      </w:r>
      <w:r w:rsidR="00DD3F1F">
        <w:t xml:space="preserve"> premièrement,</w:t>
      </w:r>
      <w:r w:rsidR="00212C03">
        <w:t xml:space="preserve"> nous avons catégorisé </w:t>
      </w:r>
      <w:r w:rsidR="00DD3F1F">
        <w:t>des extraits de</w:t>
      </w:r>
      <w:r w:rsidR="00212C03">
        <w:t xml:space="preserve"> témoignages </w:t>
      </w:r>
      <w:r w:rsidR="00DD3F1F">
        <w:t>à partir des facteurs qu’ils exprimaient; deuxièmement, nous avons classé ces facteurs sur une ligne de temps afin de comprendre comment ceux-ci interagissaient entre eux. Nous en avons déduit un</w:t>
      </w:r>
      <w:r w:rsidR="005875AB">
        <w:t>e configuration structurelle, comprenant une description des facteurs vérifiés, la façon dont ils ont influencé l’émergence du SIIO, ainsi que les interactions entre ces facteurs.</w:t>
      </w:r>
    </w:p>
    <w:p w14:paraId="4328C946" w14:textId="6E39E816" w:rsidR="00E25586" w:rsidRDefault="00E25586" w:rsidP="005056AC">
      <w:r>
        <w:t xml:space="preserve">La deuxième phase portait sur le GFQ, et visait à vérifier, compléter et nuancer </w:t>
      </w:r>
      <w:r w:rsidR="00B34817">
        <w:t>notre</w:t>
      </w:r>
      <w:r>
        <w:t xml:space="preserve"> première </w:t>
      </w:r>
      <w:r w:rsidR="00B34817">
        <w:t>analyse (analyse transversale)</w:t>
      </w:r>
      <w:r>
        <w:t>.</w:t>
      </w:r>
      <w:r w:rsidR="005A4A35">
        <w:t xml:space="preserve"> </w:t>
      </w:r>
      <w:r w:rsidR="00760C78">
        <w:t>Nous avons utilisé des critères de recrutement</w:t>
      </w:r>
      <w:r w:rsidR="00C1706E">
        <w:t xml:space="preserve"> et types d’entretiens</w:t>
      </w:r>
      <w:r w:rsidR="00760C78">
        <w:t xml:space="preserve"> identiques à la première phase.</w:t>
      </w:r>
      <w:r w:rsidR="00233B9A">
        <w:t xml:space="preserve"> Au total, trois participants représentant trois catégories d’acteurs ont été recrutés : employé ministériel (1), employé de GFQ (1), employé d’un groupement forestier membre de GFQ (1).</w:t>
      </w:r>
      <w:r w:rsidR="00F16924">
        <w:t xml:space="preserve"> Le projet de SIIO à l’étude était </w:t>
      </w:r>
      <w:r w:rsidR="00A67E6A">
        <w:t>le RESAM</w:t>
      </w:r>
      <w:r w:rsidR="00A2494E">
        <w:t xml:space="preserve">, </w:t>
      </w:r>
      <w:r w:rsidR="00EA5CF2">
        <w:t xml:space="preserve">un SIIO </w:t>
      </w:r>
      <w:r w:rsidR="007B6454">
        <w:t xml:space="preserve">développé et </w:t>
      </w:r>
      <w:r w:rsidR="00EA5CF2">
        <w:t xml:space="preserve">mis </w:t>
      </w:r>
      <w:r w:rsidR="007B6454">
        <w:t xml:space="preserve">en production par le GFQ, et utilisé par les groupements forestiers depuis plusieurs années. </w:t>
      </w:r>
      <w:r w:rsidR="009A5D86">
        <w:t xml:space="preserve">Le nombre réduit de participants pour cette deuxième phase (par comparaison à la première) est justifié par </w:t>
      </w:r>
      <w:r w:rsidR="00F16924">
        <w:t>trois aspects :</w:t>
      </w:r>
      <w:r w:rsidR="00594AB0">
        <w:t xml:space="preserve"> le projet était porté directement par la méta-organisation sans aide d’un prestataire externe</w:t>
      </w:r>
      <w:r w:rsidR="00C82B8D">
        <w:t xml:space="preserve"> (quatrième catégorie de participant); </w:t>
      </w:r>
      <w:r w:rsidR="000B471C">
        <w:t>nous n’avons pas relevé de discussions autour de l’opportunité de la</w:t>
      </w:r>
      <w:r w:rsidR="002D0EF5">
        <w:t xml:space="preserve"> solution</w:t>
      </w:r>
      <w:r w:rsidR="000B471C">
        <w:t xml:space="preserve"> car celle-ci</w:t>
      </w:r>
      <w:r w:rsidR="002D0EF5">
        <w:t xml:space="preserve"> était institutionnalisée, </w:t>
      </w:r>
      <w:r w:rsidR="00176CC8">
        <w:t xml:space="preserve">à savoir </w:t>
      </w:r>
      <w:r w:rsidR="00C1706E">
        <w:t>acceptée et reconnue</w:t>
      </w:r>
      <w:r w:rsidR="00176CC8">
        <w:t xml:space="preserve"> à la fois par les groupements forestiers et le </w:t>
      </w:r>
      <w:r w:rsidR="00766C03">
        <w:t>MFFP</w:t>
      </w:r>
      <w:r w:rsidR="00682D80">
        <w:t>;</w:t>
      </w:r>
      <w:r w:rsidR="00C1706E">
        <w:t xml:space="preserve"> nous bénéficions des résultats de la première phase, et pouvions ainsi concentrer le contenu des échanges sur les critères que nous souhaitions vérifier.</w:t>
      </w:r>
    </w:p>
    <w:p w14:paraId="2DA50EDE" w14:textId="3BBFCDE4" w:rsidR="005875AB" w:rsidRDefault="009825AE" w:rsidP="005056AC">
      <w:r>
        <w:t xml:space="preserve">La troisième phase portait sur le </w:t>
      </w:r>
      <w:r w:rsidR="004F4930">
        <w:t xml:space="preserve">RADN, et </w:t>
      </w:r>
      <w:r w:rsidR="00B97C21">
        <w:t>permettait de contribuer à la triangulation des données (section 3.4)</w:t>
      </w:r>
      <w:r w:rsidR="004F4930">
        <w:t xml:space="preserve">. </w:t>
      </w:r>
      <w:r w:rsidR="00E33B7C">
        <w:t xml:space="preserve">La collecte de données </w:t>
      </w:r>
      <w:r w:rsidR="00CB0464">
        <w:t>a été effectuée par une recherche documentaire, portant exclusivement sur des ressources disponibles publiquement en ligne.</w:t>
      </w:r>
    </w:p>
    <w:p w14:paraId="4BB52D2E" w14:textId="5C986A32" w:rsidR="005108BB" w:rsidRDefault="005F7A23" w:rsidP="00B9385C">
      <w:pPr>
        <w:pStyle w:val="Heading2"/>
      </w:pPr>
      <w:bookmarkStart w:id="10" w:name="_Toc115454550"/>
      <w:r>
        <w:t>Qualité de la recherche</w:t>
      </w:r>
      <w:bookmarkEnd w:id="10"/>
    </w:p>
    <w:p w14:paraId="73F1D002" w14:textId="160B11D8" w:rsidR="00C20B25" w:rsidRDefault="00634702" w:rsidP="005056AC">
      <w:r>
        <w:t xml:space="preserve">La qualité de la recherche est assurée par une stratégie de triangulation des </w:t>
      </w:r>
      <w:r w:rsidR="00132DA1">
        <w:t>résultats</w:t>
      </w:r>
      <w:r>
        <w:t>.</w:t>
      </w:r>
      <w:r w:rsidR="00C20B25">
        <w:t xml:space="preserve"> La triangulation des </w:t>
      </w:r>
      <w:r w:rsidR="00132DA1">
        <w:t>résultats</w:t>
      </w:r>
      <w:r w:rsidR="00C20B25">
        <w:t xml:space="preserve"> consiste à vérifier une information </w:t>
      </w:r>
      <w:r w:rsidR="00132DA1">
        <w:t xml:space="preserve">en la confrontant à une même information issue d'une source différente. Au sein d'un même écosystème (ROBVQ et GFQ), cette triangulation était permise par </w:t>
      </w:r>
      <w:r w:rsidR="00720D9C">
        <w:t>la diversité des points de vue exprimés (différents participants de différentes catégories, exprimant leurs points de vue respectifs autour d’un même projet de SIIO). En outre,</w:t>
      </w:r>
      <w:r w:rsidR="00B75C55">
        <w:t xml:space="preserve"> la collecte de données par entretiens semi-dirigé</w:t>
      </w:r>
      <w:r w:rsidR="002477D6">
        <w:t>s (ROBVQ et GFQ)</w:t>
      </w:r>
      <w:r w:rsidR="00B75C55">
        <w:t xml:space="preserve"> a été complétée d’une recherche documentaire</w:t>
      </w:r>
      <w:r w:rsidR="008F5D3D">
        <w:t xml:space="preserve"> </w:t>
      </w:r>
      <w:r w:rsidR="002477D6">
        <w:t>à partir d’informations publiquement accessibles</w:t>
      </w:r>
      <w:r w:rsidR="008F5D3D">
        <w:t xml:space="preserve"> (ROBVQ, GFQ et RADN)</w:t>
      </w:r>
      <w:r w:rsidR="002477D6">
        <w:t xml:space="preserve"> et internes</w:t>
      </w:r>
      <w:r w:rsidR="008F5D3D">
        <w:t xml:space="preserve"> (ROBVQ et GFQ)</w:t>
      </w:r>
      <w:r w:rsidR="002477D6">
        <w:t>.</w:t>
      </w:r>
    </w:p>
    <w:p w14:paraId="7F4F8D35" w14:textId="2EBBA765" w:rsidR="005F7A23" w:rsidRDefault="005F7A23" w:rsidP="00B374E6">
      <w:pPr>
        <w:pStyle w:val="Heading1"/>
      </w:pPr>
      <w:bookmarkStart w:id="11" w:name="_Toc115454551"/>
      <w:r>
        <w:t>Résultats</w:t>
      </w:r>
      <w:bookmarkEnd w:id="11"/>
    </w:p>
    <w:p w14:paraId="70119F70" w14:textId="55FE1596" w:rsidR="00882076" w:rsidRPr="00882076" w:rsidRDefault="007618A8" w:rsidP="005056AC">
      <w:r>
        <w:t xml:space="preserve">L’analyse des données nous a permis de tirer </w:t>
      </w:r>
      <w:r w:rsidR="00DF1462">
        <w:t>trois</w:t>
      </w:r>
      <w:r>
        <w:t xml:space="preserve"> constats. Nous avons identifié les raisons qui ont amené </w:t>
      </w:r>
      <w:r w:rsidR="007A5510">
        <w:t xml:space="preserve">les acteurs des écosystèmes étudiés à se doter d’un SIIO (section 4.1), les atouts présentés par les méta-organisations pour contribuer au projet de SIIO (section 4.2), </w:t>
      </w:r>
      <w:r w:rsidR="00DF1462">
        <w:t xml:space="preserve">et </w:t>
      </w:r>
      <w:r w:rsidR="007A5510">
        <w:t xml:space="preserve">les facteurs qui </w:t>
      </w:r>
      <w:r w:rsidR="009C5775">
        <w:t>ont influencé l</w:t>
      </w:r>
      <w:r w:rsidR="00440C82">
        <w:t xml:space="preserve">a disposition des méta-organisations à </w:t>
      </w:r>
      <w:r w:rsidR="00655F77">
        <w:t>conduire une stratégie de SIIO (section 4.3)</w:t>
      </w:r>
      <w:r w:rsidR="00DF1462">
        <w:t>.</w:t>
      </w:r>
    </w:p>
    <w:p w14:paraId="53557814" w14:textId="7D9C3885" w:rsidR="000E1C3D" w:rsidRDefault="004B0FA0" w:rsidP="00B9385C">
      <w:pPr>
        <w:pStyle w:val="Heading2"/>
      </w:pPr>
      <w:bookmarkStart w:id="12" w:name="_Toc115454552"/>
      <w:r>
        <w:t>L</w:t>
      </w:r>
      <w:r w:rsidR="000E1C3D">
        <w:t>es raisons motivant l’émergence d’un SIIO</w:t>
      </w:r>
      <w:bookmarkEnd w:id="12"/>
    </w:p>
    <w:p w14:paraId="29B2758F" w14:textId="20848CA5" w:rsidR="000E1C3D" w:rsidRDefault="000E1C3D" w:rsidP="005056AC">
      <w:r>
        <w:t xml:space="preserve">Nous nous sommes d’abord demandé pourquoi est-ce que des nouveaux projets de SIIO ont émergé. Une motivation apparemment commune aux initiateurs des projets </w:t>
      </w:r>
      <w:proofErr w:type="spellStart"/>
      <w:r>
        <w:t>Géofluence</w:t>
      </w:r>
      <w:proofErr w:type="spellEnd"/>
      <w:r>
        <w:t xml:space="preserve"> (ROBVQ) et RESAM (GFQ) était la rencontre entre un besoin d’améliorer le partage de données entre plusieurs acteurs autonomes (</w:t>
      </w:r>
      <w:r w:rsidR="001F0350">
        <w:t xml:space="preserve">section </w:t>
      </w:r>
      <w:r>
        <w:t>4.1.1), et la non-disponibilité d’outils pertinents pour partager ces données (</w:t>
      </w:r>
      <w:r w:rsidR="001F0350">
        <w:t xml:space="preserve">section </w:t>
      </w:r>
      <w:r>
        <w:t>4.1.2).</w:t>
      </w:r>
    </w:p>
    <w:p w14:paraId="7851D560" w14:textId="5A60BD9A" w:rsidR="000E1C3D" w:rsidRDefault="00E43EC9" w:rsidP="005B7F57">
      <w:pPr>
        <w:pStyle w:val="Heading3"/>
      </w:pPr>
      <w:r>
        <w:t>Le besoin d’améliorer le partage de données entre acteurs autonomes</w:t>
      </w:r>
    </w:p>
    <w:p w14:paraId="56651068" w14:textId="77777777" w:rsidR="00936422" w:rsidRDefault="00002034" w:rsidP="005056AC">
      <w:r>
        <w:t xml:space="preserve">Il est important de souligner que les organisations partageaient déjà des données à l’aide d’outils numériques. Le partage des données était cependant perçu comme inefficient, et donc coûteux en termes de temps et donc de ressources humaines. Concrètement, </w:t>
      </w:r>
      <w:r w:rsidR="00663183">
        <w:t>un processus de partage de données</w:t>
      </w:r>
      <w:r w:rsidR="00936422">
        <w:t xml:space="preserve"> impliquait :</w:t>
      </w:r>
    </w:p>
    <w:p w14:paraId="33AC2F5E" w14:textId="63340370" w:rsidR="00663183" w:rsidRDefault="00936422" w:rsidP="005056AC">
      <w:pPr>
        <w:pStyle w:val="ListParagraph"/>
        <w:numPr>
          <w:ilvl w:val="0"/>
          <w:numId w:val="14"/>
        </w:numPr>
      </w:pPr>
      <w:r>
        <w:t>L</w:t>
      </w:r>
      <w:r w:rsidR="00102183">
        <w:t>’extraction de données à partir d’une base de données existante (ex. : fichier Excel) afin de le convertir au sein d’un autre fichier (ex. : autre fichier Excel, ou fichier PDF);</w:t>
      </w:r>
    </w:p>
    <w:p w14:paraId="5D74C6F0" w14:textId="4798A4D2" w:rsidR="00102183" w:rsidRDefault="00102183" w:rsidP="005056AC">
      <w:pPr>
        <w:pStyle w:val="ListParagraph"/>
        <w:numPr>
          <w:ilvl w:val="0"/>
          <w:numId w:val="14"/>
        </w:numPr>
      </w:pPr>
      <w:r>
        <w:t xml:space="preserve">L’envoi de ces données par courriel, ou </w:t>
      </w:r>
      <w:r w:rsidR="001F3B09">
        <w:t>en téléchargeant un fichier sur une plateforme dédiée.</w:t>
      </w:r>
    </w:p>
    <w:p w14:paraId="5A9687B3" w14:textId="22240722" w:rsidR="001F3B09" w:rsidRDefault="001F3B09" w:rsidP="005056AC">
      <w:r>
        <w:t>Les problèmes</w:t>
      </w:r>
      <w:r w:rsidR="00605CF1">
        <w:t xml:space="preserve"> soulevés étaient :</w:t>
      </w:r>
    </w:p>
    <w:p w14:paraId="5B326104" w14:textId="47320EFA" w:rsidR="00605CF1" w:rsidRDefault="00703339" w:rsidP="005056AC">
      <w:pPr>
        <w:pStyle w:val="ListParagraph"/>
        <w:numPr>
          <w:ilvl w:val="0"/>
          <w:numId w:val="14"/>
        </w:numPr>
      </w:pPr>
      <w:r>
        <w:t xml:space="preserve">Un travail conséquent requis </w:t>
      </w:r>
      <w:r w:rsidR="00614CCC">
        <w:t>par l’ensemble des acteurs pour convertir les données sous le bon format, transmettre ces données, et les recroiser entre différents acteurs;</w:t>
      </w:r>
    </w:p>
    <w:p w14:paraId="66755A38" w14:textId="61AF4912" w:rsidR="00614CCC" w:rsidRDefault="00614CCC" w:rsidP="005056AC">
      <w:pPr>
        <w:pStyle w:val="ListParagraph"/>
        <w:numPr>
          <w:ilvl w:val="0"/>
          <w:numId w:val="14"/>
        </w:numPr>
      </w:pPr>
      <w:r>
        <w:t>U</w:t>
      </w:r>
      <w:r w:rsidR="002705FA">
        <w:t>ne base de données centrale incomplète</w:t>
      </w:r>
      <w:r>
        <w:t>,</w:t>
      </w:r>
      <w:r w:rsidR="003A7ED0">
        <w:t xml:space="preserve"> </w:t>
      </w:r>
      <w:r w:rsidR="002705FA">
        <w:t>qui se traduit notamment par des données manquantes ou non-formatées;</w:t>
      </w:r>
    </w:p>
    <w:p w14:paraId="40CE4105" w14:textId="7CAB1AD2" w:rsidR="002705FA" w:rsidRDefault="002705FA" w:rsidP="005056AC">
      <w:pPr>
        <w:pStyle w:val="ListParagraph"/>
        <w:numPr>
          <w:ilvl w:val="0"/>
          <w:numId w:val="14"/>
        </w:numPr>
      </w:pPr>
      <w:r>
        <w:t>Une difficulté de capitaliser sur le travail collectif : l</w:t>
      </w:r>
      <w:r w:rsidR="001D129C">
        <w:t>’entité qui centralise les données ne les met pas toujours à disposition des acteurs, ou le format de la base de données centrale n’est pas pertinent pour les acteurs de terrain.</w:t>
      </w:r>
    </w:p>
    <w:p w14:paraId="4B30F1AF" w14:textId="798C4EC0" w:rsidR="005F4339" w:rsidRPr="00713952" w:rsidRDefault="005F4339" w:rsidP="005056AC">
      <w:pPr>
        <w:pStyle w:val="Quote"/>
      </w:pPr>
      <w:r w:rsidRPr="00565599">
        <w:rPr>
          <w:i w:val="0"/>
          <w:iCs w:val="0"/>
        </w:rPr>
        <w:t>« </w:t>
      </w:r>
      <w:r w:rsidRPr="00713952">
        <w:t xml:space="preserve">On se rendait compte qu'il y avait un besoin flagrant d'interopérabilité entre les différents systèmes, parce qu'on faisait chacun la même affaire de notre côté, on perdait un temps fou. </w:t>
      </w:r>
      <w:r w:rsidRPr="00565599">
        <w:rPr>
          <w:i w:val="0"/>
          <w:iCs w:val="0"/>
        </w:rPr>
        <w:t>[…]</w:t>
      </w:r>
      <w:r w:rsidRPr="00713952">
        <w:t xml:space="preserve"> </w:t>
      </w:r>
      <w:r w:rsidR="0035597B">
        <w:t>I</w:t>
      </w:r>
      <w:r w:rsidR="00504F6F" w:rsidRPr="00713952">
        <w:t>l y a encore beaucoup de données qui restent perdues dans des dossiers.</w:t>
      </w:r>
      <w:r w:rsidRPr="00565599">
        <w:rPr>
          <w:i w:val="0"/>
          <w:iCs w:val="0"/>
        </w:rPr>
        <w:t> » L25JP7</w:t>
      </w:r>
    </w:p>
    <w:p w14:paraId="079DBFA2" w14:textId="09780361" w:rsidR="00E43EC9" w:rsidRDefault="00717E51" w:rsidP="005056AC">
      <w:r>
        <w:t>Dans les</w:t>
      </w:r>
      <w:r w:rsidR="00C16024">
        <w:t xml:space="preserve"> cas étudiés, le</w:t>
      </w:r>
      <w:r w:rsidR="00BD298F">
        <w:t xml:space="preserve"> besoin d</w:t>
      </w:r>
      <w:r w:rsidR="00D8638D">
        <w:t xml:space="preserve">’améliorer le partage de données </w:t>
      </w:r>
      <w:r>
        <w:t>découle de deux facteurs :</w:t>
      </w:r>
    </w:p>
    <w:p w14:paraId="6FE77E00" w14:textId="17D5E886" w:rsidR="00717E51" w:rsidRDefault="00A236E4" w:rsidP="005056AC">
      <w:pPr>
        <w:pStyle w:val="ListParagraph"/>
        <w:numPr>
          <w:ilvl w:val="0"/>
          <w:numId w:val="14"/>
        </w:numPr>
      </w:pPr>
      <w:r>
        <w:t>Un souhait de</w:t>
      </w:r>
      <w:r w:rsidR="00C87B69">
        <w:t xml:space="preserve"> gagner en efficience collective</w:t>
      </w:r>
      <w:r w:rsidR="00DA344D">
        <w:t xml:space="preserve"> </w:t>
      </w:r>
      <w:r w:rsidR="00C87B69">
        <w:t>par la mutualisation des informations entre les membres du réseau</w:t>
      </w:r>
      <w:r w:rsidR="00594B77">
        <w:t>;</w:t>
      </w:r>
    </w:p>
    <w:p w14:paraId="6BF1EDEF" w14:textId="0840E335" w:rsidR="00C87B69" w:rsidRDefault="00C87B69" w:rsidP="005056AC">
      <w:pPr>
        <w:pStyle w:val="ListParagraph"/>
        <w:numPr>
          <w:ilvl w:val="0"/>
          <w:numId w:val="14"/>
        </w:numPr>
      </w:pPr>
      <w:r>
        <w:t>Une nécessité de</w:t>
      </w:r>
      <w:r w:rsidR="00547B74">
        <w:t xml:space="preserve"> reddition de comptes auprès d’un ou plusieurs ministères de référence.</w:t>
      </w:r>
    </w:p>
    <w:p w14:paraId="4CC63D3B" w14:textId="5CE9104E" w:rsidR="00191158" w:rsidRPr="00713952" w:rsidRDefault="00707650" w:rsidP="005056AC">
      <w:pPr>
        <w:pStyle w:val="Quote"/>
        <w:rPr>
          <w:rStyle w:val="Emphasis"/>
          <w:i/>
          <w:iCs/>
        </w:rPr>
      </w:pPr>
      <w:r w:rsidRPr="002E48AD">
        <w:rPr>
          <w:rStyle w:val="Emphasis"/>
        </w:rPr>
        <w:t>« </w:t>
      </w:r>
      <w:r w:rsidR="002E48AD">
        <w:rPr>
          <w:rStyle w:val="Emphasis"/>
          <w:i/>
          <w:iCs/>
        </w:rPr>
        <w:t>O</w:t>
      </w:r>
      <w:r w:rsidR="00191158" w:rsidRPr="00713952">
        <w:rPr>
          <w:rStyle w:val="Emphasis"/>
          <w:i/>
          <w:iCs/>
        </w:rPr>
        <w:t>n cherch</w:t>
      </w:r>
      <w:r w:rsidR="002E48AD">
        <w:rPr>
          <w:rStyle w:val="Emphasis"/>
          <w:i/>
          <w:iCs/>
        </w:rPr>
        <w:t>ait</w:t>
      </w:r>
      <w:r w:rsidR="00191158" w:rsidRPr="00713952">
        <w:rPr>
          <w:rStyle w:val="Emphasis"/>
          <w:i/>
          <w:iCs/>
        </w:rPr>
        <w:t xml:space="preserve"> une manière de pousser plus loin la saisie des données pour être capable</w:t>
      </w:r>
      <w:r w:rsidRPr="00713952">
        <w:rPr>
          <w:rStyle w:val="Emphasis"/>
          <w:i/>
          <w:iCs/>
        </w:rPr>
        <w:t>s</w:t>
      </w:r>
      <w:r w:rsidR="00191158" w:rsidRPr="00713952">
        <w:rPr>
          <w:rStyle w:val="Emphasis"/>
          <w:i/>
          <w:iCs/>
        </w:rPr>
        <w:t xml:space="preserve"> de tout le temps pouvoir la partager, qu'il y ait moins d'information qui se perde dans les processus de saisie sur le terrain jusque dans les rapports en données géomatiques</w:t>
      </w:r>
      <w:r w:rsidRPr="00713952">
        <w:rPr>
          <w:rStyle w:val="Emphasis"/>
          <w:i/>
          <w:iCs/>
        </w:rPr>
        <w:t>.</w:t>
      </w:r>
      <w:r w:rsidR="00191158" w:rsidRPr="00713952">
        <w:rPr>
          <w:rStyle w:val="Emphasis"/>
          <w:i/>
          <w:iCs/>
        </w:rPr>
        <w:t xml:space="preserve"> </w:t>
      </w:r>
      <w:r w:rsidRPr="00713952">
        <w:rPr>
          <w:rStyle w:val="Emphasis"/>
          <w:i/>
          <w:iCs/>
        </w:rPr>
        <w:t>D</w:t>
      </w:r>
      <w:r w:rsidR="00191158" w:rsidRPr="00713952">
        <w:rPr>
          <w:rStyle w:val="Emphasis"/>
          <w:i/>
          <w:iCs/>
        </w:rPr>
        <w:t xml:space="preserve">e là est née </w:t>
      </w:r>
      <w:proofErr w:type="spellStart"/>
      <w:r w:rsidR="00191158" w:rsidRPr="00713952">
        <w:rPr>
          <w:rStyle w:val="Emphasis"/>
          <w:i/>
          <w:iCs/>
        </w:rPr>
        <w:t>Géofluence</w:t>
      </w:r>
      <w:proofErr w:type="spellEnd"/>
      <w:r w:rsidR="00191158" w:rsidRPr="00713952">
        <w:rPr>
          <w:rStyle w:val="Emphasis"/>
          <w:i/>
          <w:iCs/>
        </w:rPr>
        <w:t>.</w:t>
      </w:r>
      <w:r w:rsidRPr="00713952">
        <w:rPr>
          <w:rStyle w:val="Emphasis"/>
          <w:i/>
          <w:iCs/>
        </w:rPr>
        <w:t> </w:t>
      </w:r>
      <w:r w:rsidRPr="002E48AD">
        <w:rPr>
          <w:rStyle w:val="Emphasis"/>
        </w:rPr>
        <w:t>»</w:t>
      </w:r>
      <w:r w:rsidR="00AD3F0A" w:rsidRPr="002E48AD">
        <w:rPr>
          <w:rStyle w:val="Emphasis"/>
        </w:rPr>
        <w:t xml:space="preserve"> L25JP7</w:t>
      </w:r>
    </w:p>
    <w:p w14:paraId="5DB3D03B" w14:textId="0EA88E34" w:rsidR="00E43EC9" w:rsidRPr="00E43EC9" w:rsidRDefault="00795635" w:rsidP="005B7F57">
      <w:pPr>
        <w:pStyle w:val="Heading3"/>
      </w:pPr>
      <w:r>
        <w:t>La volonté de contrôler les données</w:t>
      </w:r>
    </w:p>
    <w:p w14:paraId="48D529DB" w14:textId="08467C03" w:rsidR="00C47ED3" w:rsidRDefault="008F028D" w:rsidP="005056AC">
      <w:r>
        <w:t xml:space="preserve">Le premier réflexe des acteurs a </w:t>
      </w:r>
      <w:r w:rsidR="007B18DA">
        <w:t xml:space="preserve">consisté à identifier une solution disponible sur le marché. </w:t>
      </w:r>
      <w:r w:rsidR="00C1281B">
        <w:t>Cependant, les solutions existantes ont été considérées comme inadaptées, pour les raisons suivantes :</w:t>
      </w:r>
      <w:r w:rsidR="008201AB">
        <w:t xml:space="preserve"> les solutions propriétaires impliquent une contrainte d’enfermement propriétaire (section 4.1.2.1)</w:t>
      </w:r>
      <w:r w:rsidR="00F153B8">
        <w:t xml:space="preserve"> et</w:t>
      </w:r>
      <w:r w:rsidR="008201AB">
        <w:t xml:space="preserve"> les solutions libres (ou open source)</w:t>
      </w:r>
      <w:r w:rsidR="00F153B8">
        <w:t xml:space="preserve"> existantes nécessitaient des développements afin de les adapter à la réalité des </w:t>
      </w:r>
      <w:r w:rsidR="00F56D58">
        <w:t>organisations (section 4.1.2.2).</w:t>
      </w:r>
    </w:p>
    <w:p w14:paraId="663B4BEA" w14:textId="394829D4" w:rsidR="00262351" w:rsidRDefault="00262351" w:rsidP="00B374E6">
      <w:pPr>
        <w:pStyle w:val="Heading4"/>
      </w:pPr>
      <w:r>
        <w:t>Les solutions propriétaires et la contrainte de l’enfermement de l’utilisateur</w:t>
      </w:r>
    </w:p>
    <w:p w14:paraId="30621B82" w14:textId="4695E6F2" w:rsidR="00500792" w:rsidRDefault="00262351" w:rsidP="005056AC">
      <w:r>
        <w:t>Une solution propriétaire est par exemple disponible pour le métier de la géomatique. Néanmoins, ce</w:t>
      </w:r>
      <w:r w:rsidR="0048032E">
        <w:t xml:space="preserve"> type de solution implique l’achat d’une licence perçue comme étant onéreuse par les acteurs de terrain. En outre, les </w:t>
      </w:r>
      <w:r w:rsidR="00CF09EF">
        <w:t>acteurs de terrain souhaitaient s’assurer de conserver le contrôle sur leurs données : une limite des solutions propriétaires est que l’accès aux données n’est permis que si la licence était à jour.</w:t>
      </w:r>
      <w:r w:rsidR="00F82F24">
        <w:t xml:space="preserve"> Enfin, le choix d’une solution propriétaire nécessit</w:t>
      </w:r>
      <w:r w:rsidR="00F93907">
        <w:t>e une confiance envers le fournisseur de la prestation : certains acteurs ont exprimé une déception quant à la qualité du service fourni,</w:t>
      </w:r>
      <w:r w:rsidR="00B1530A">
        <w:t xml:space="preserve"> alimentant le doute quant à la pertinence de lui confier une ressource-clé.</w:t>
      </w:r>
    </w:p>
    <w:p w14:paraId="26ED0F8C" w14:textId="7AACA1D3" w:rsidR="00A23D38" w:rsidRPr="00A23D38" w:rsidRDefault="00A23D38" w:rsidP="005056AC">
      <w:pPr>
        <w:pStyle w:val="Quote"/>
      </w:pPr>
      <w:r w:rsidRPr="000B38A9">
        <w:rPr>
          <w:i w:val="0"/>
          <w:iCs w:val="0"/>
        </w:rPr>
        <w:t>« </w:t>
      </w:r>
      <w:r w:rsidR="00070CEB">
        <w:t>Ç</w:t>
      </w:r>
      <w:r w:rsidRPr="00A23D38">
        <w:t>a nous coût</w:t>
      </w:r>
      <w:r w:rsidR="000B38A9">
        <w:t>ait</w:t>
      </w:r>
      <w:r w:rsidRPr="00A23D38">
        <w:t xml:space="preserve"> de </w:t>
      </w:r>
      <w:r w:rsidR="000B38A9">
        <w:t>l’argent simplement</w:t>
      </w:r>
      <w:r w:rsidRPr="00A23D38">
        <w:t xml:space="preserve"> </w:t>
      </w:r>
      <w:r w:rsidR="00EB4746">
        <w:t xml:space="preserve">pour </w:t>
      </w:r>
      <w:r w:rsidRPr="00A23D38">
        <w:t xml:space="preserve">consulter les éléments en ligne. Donc </w:t>
      </w:r>
      <w:r w:rsidR="00EB4746">
        <w:t>ce n’</w:t>
      </w:r>
      <w:r w:rsidR="00E363C7">
        <w:t>était</w:t>
      </w:r>
      <w:r w:rsidRPr="00A23D38">
        <w:t xml:space="preserve"> pas une initiative qui est viable pour beaucoup d'organismes de bassin</w:t>
      </w:r>
      <w:r w:rsidR="000B38A9">
        <w:t>s</w:t>
      </w:r>
      <w:r w:rsidRPr="00A23D38">
        <w:t xml:space="preserve"> versant</w:t>
      </w:r>
      <w:r w:rsidR="000B38A9">
        <w:t>s</w:t>
      </w:r>
      <w:r w:rsidRPr="00A23D38">
        <w:t xml:space="preserve"> dont les fonds sont limités.</w:t>
      </w:r>
      <w:r>
        <w:t> </w:t>
      </w:r>
      <w:r w:rsidRPr="000B38A9">
        <w:rPr>
          <w:i w:val="0"/>
          <w:iCs w:val="0"/>
        </w:rPr>
        <w:t>»</w:t>
      </w:r>
      <w:r w:rsidR="00EB4746" w:rsidRPr="000B38A9">
        <w:rPr>
          <w:i w:val="0"/>
          <w:iCs w:val="0"/>
        </w:rPr>
        <w:t xml:space="preserve"> L25JP7</w:t>
      </w:r>
    </w:p>
    <w:p w14:paraId="0D8F2F58" w14:textId="4AD9E524" w:rsidR="00B1530A" w:rsidRDefault="00E02A2D" w:rsidP="005056AC">
      <w:r>
        <w:t>En résumé, les leaders des projets de SIIO souhaitaient</w:t>
      </w:r>
      <w:r w:rsidR="00576D5A">
        <w:t xml:space="preserve"> ne pas être soumis à un enfermement propriétaire, qui se caractérisait par des coûts d’abonnement élevés associés à un manque de flexibilité ainsi qu’à des contraintes imposées à l’accès à leurs propres données.</w:t>
      </w:r>
    </w:p>
    <w:p w14:paraId="7771ACC3" w14:textId="7B1F0C36" w:rsidR="00B90D0B" w:rsidRDefault="00B97C21" w:rsidP="00B374E6">
      <w:pPr>
        <w:pStyle w:val="Heading4"/>
      </w:pPr>
      <w:r>
        <w:t xml:space="preserve">Le recours aux </w:t>
      </w:r>
      <w:r w:rsidR="00795635">
        <w:t>logiciels libres</w:t>
      </w:r>
    </w:p>
    <w:p w14:paraId="30A25089" w14:textId="2ECBC037" w:rsidR="00FA5FAE" w:rsidRDefault="000249F7" w:rsidP="005056AC">
      <w:r>
        <w:t xml:space="preserve">Les deux cas étudiés ont eu recours à </w:t>
      </w:r>
      <w:r w:rsidR="006879A3">
        <w:t>une solution</w:t>
      </w:r>
      <w:r>
        <w:t xml:space="preserve"> open source en géomatique. </w:t>
      </w:r>
      <w:r w:rsidR="006879A3">
        <w:t>La nature open source</w:t>
      </w:r>
      <w:r>
        <w:t xml:space="preserve"> offre l’avantage de ne pas être soumis aux mécanismes d’enfermement propriétaire évoqués ci-dessus. </w:t>
      </w:r>
      <w:r w:rsidR="002B3E5B">
        <w:t xml:space="preserve">Elle permet en outre de s’adapter à la structure du réseau tel que pensé par les leaders : </w:t>
      </w:r>
      <w:r w:rsidR="007427DF">
        <w:t xml:space="preserve">les OBV ont élaboré un outil et une base de données centralisée, tandis que les groupements forestiers </w:t>
      </w:r>
      <w:r w:rsidR="001A334D">
        <w:t>ont préféré adopter une démarche décentralisée en déployant différentes instances et serveurs interconnectés.</w:t>
      </w:r>
    </w:p>
    <w:p w14:paraId="3902B1E3" w14:textId="2C22CA78" w:rsidR="001A334D" w:rsidRDefault="00113D7D" w:rsidP="005056AC">
      <w:r>
        <w:t xml:space="preserve">L’élaboration d’une solution sur-mesure </w:t>
      </w:r>
      <w:r w:rsidR="00B165A9">
        <w:t>nécessite</w:t>
      </w:r>
      <w:r>
        <w:t xml:space="preserve"> un investissement</w:t>
      </w:r>
      <w:r w:rsidR="00B165A9">
        <w:t xml:space="preserve"> initial, notamment pour structurer la base de données et élaborer l’interface utilisateur.</w:t>
      </w:r>
      <w:r w:rsidR="00F45C11">
        <w:t xml:space="preserve"> </w:t>
      </w:r>
      <w:r w:rsidR="00B165A9">
        <w:t>Lorsque la solution n’est pas offerte par le marché, cet investissement doit être assumé par une ou plusieurs organisations</w:t>
      </w:r>
      <w:r w:rsidR="00F45C11">
        <w:t xml:space="preserve"> (leaders du SIIO)</w:t>
      </w:r>
      <w:r w:rsidR="00B165A9">
        <w:t>,</w:t>
      </w:r>
      <w:r w:rsidR="00F45C11">
        <w:t xml:space="preserve"> capables de mobiliser les expertises nécessaires</w:t>
      </w:r>
      <w:r w:rsidR="00B165A9">
        <w:t>. Le leader initial peut être la méta-organisation elle-même (</w:t>
      </w:r>
      <w:r w:rsidR="00F45C11">
        <w:t xml:space="preserve">cas du RESAM) ou des organisations-membres de la méta-organisation (cas de </w:t>
      </w:r>
      <w:proofErr w:type="spellStart"/>
      <w:r w:rsidR="00F45C11">
        <w:t>Géofluence</w:t>
      </w:r>
      <w:proofErr w:type="spellEnd"/>
      <w:r w:rsidR="00F45C11">
        <w:t>).</w:t>
      </w:r>
    </w:p>
    <w:p w14:paraId="105114D4" w14:textId="3DC455DA" w:rsidR="00871FFC" w:rsidRPr="00871FFC" w:rsidRDefault="00871FFC" w:rsidP="005056AC">
      <w:pPr>
        <w:pStyle w:val="Quote"/>
      </w:pPr>
      <w:r w:rsidRPr="000B38A9">
        <w:rPr>
          <w:i w:val="0"/>
          <w:iCs w:val="0"/>
        </w:rPr>
        <w:t>« </w:t>
      </w:r>
      <w:r>
        <w:t>Il n’y</w:t>
      </w:r>
      <w:r w:rsidRPr="00871FFC">
        <w:t xml:space="preserve"> pas beaucoup d'argent mais on travaille fort</w:t>
      </w:r>
      <w:r w:rsidR="000B38A9">
        <w:t>.</w:t>
      </w:r>
      <w:r w:rsidRPr="00871FFC">
        <w:t xml:space="preserve"> </w:t>
      </w:r>
      <w:r w:rsidR="000B38A9">
        <w:t>C</w:t>
      </w:r>
      <w:r w:rsidRPr="00871FFC">
        <w:t xml:space="preserve">'est un outil qui a beaucoup de d'avenir, parce que c'est une base de données, </w:t>
      </w:r>
      <w:r w:rsidR="006F3CB7">
        <w:t>ce sont</w:t>
      </w:r>
      <w:r w:rsidRPr="00871FFC">
        <w:t xml:space="preserve"> des outils clé en main, et c'est open source.</w:t>
      </w:r>
      <w:r>
        <w:t> </w:t>
      </w:r>
      <w:r w:rsidRPr="000B38A9">
        <w:rPr>
          <w:i w:val="0"/>
          <w:iCs w:val="0"/>
        </w:rPr>
        <w:t>»</w:t>
      </w:r>
      <w:r w:rsidR="006678FF" w:rsidRPr="000B38A9">
        <w:rPr>
          <w:i w:val="0"/>
          <w:iCs w:val="0"/>
        </w:rPr>
        <w:t xml:space="preserve"> U8G41N</w:t>
      </w:r>
    </w:p>
    <w:p w14:paraId="4649FAEC" w14:textId="59DD7178" w:rsidR="005F7A23" w:rsidRDefault="004B0FA0" w:rsidP="00B9385C">
      <w:pPr>
        <w:pStyle w:val="Heading2"/>
      </w:pPr>
      <w:bookmarkStart w:id="13" w:name="_Toc115454553"/>
      <w:r>
        <w:t>A</w:t>
      </w:r>
      <w:r w:rsidR="00544E6D">
        <w:t>touts des méta-organisations pour l’établissement de SIIO</w:t>
      </w:r>
      <w:bookmarkEnd w:id="13"/>
    </w:p>
    <w:p w14:paraId="4CD16337" w14:textId="6C6DDE33" w:rsidR="00E946E0" w:rsidRPr="00E946E0" w:rsidRDefault="003707AF" w:rsidP="005056AC">
      <w:r>
        <w:t xml:space="preserve">Notre </w:t>
      </w:r>
      <w:r w:rsidR="00EB07D6">
        <w:t>étude a permis de révéler pourquoi</w:t>
      </w:r>
      <w:r w:rsidR="00FE4095">
        <w:t xml:space="preserve">, dans les cas retenus, les méta-organisations ont été </w:t>
      </w:r>
      <w:r w:rsidR="00B614C5">
        <w:t>perçues comme acteurs pertinents pour l’émergence d’un SIIO, par les membres de ces méta-organisations</w:t>
      </w:r>
      <w:r w:rsidR="009A7084">
        <w:t xml:space="preserve"> (</w:t>
      </w:r>
      <w:r w:rsidR="006678FF">
        <w:t xml:space="preserve">section </w:t>
      </w:r>
      <w:r w:rsidR="009A7084">
        <w:t>4.</w:t>
      </w:r>
      <w:r w:rsidR="000E1C3D">
        <w:t>2</w:t>
      </w:r>
      <w:r w:rsidR="009A7084">
        <w:t xml:space="preserve">.1) </w:t>
      </w:r>
      <w:r w:rsidR="002D129C">
        <w:t>mais aussi par</w:t>
      </w:r>
      <w:r w:rsidR="009A7084">
        <w:t xml:space="preserve"> </w:t>
      </w:r>
      <w:r w:rsidR="002D129C">
        <w:t>leurs</w:t>
      </w:r>
      <w:r w:rsidR="009A7084">
        <w:t xml:space="preserve"> ministères </w:t>
      </w:r>
      <w:r w:rsidR="002D129C">
        <w:t xml:space="preserve">de référence </w:t>
      </w:r>
      <w:r w:rsidR="009A7084">
        <w:t>(</w:t>
      </w:r>
      <w:r w:rsidR="006678FF">
        <w:t xml:space="preserve">section </w:t>
      </w:r>
      <w:r w:rsidR="009A7084">
        <w:t>4.</w:t>
      </w:r>
      <w:r w:rsidR="000E1C3D">
        <w:t>2</w:t>
      </w:r>
      <w:r w:rsidR="009A7084">
        <w:t>.2)</w:t>
      </w:r>
      <w:r w:rsidR="00B614C5">
        <w:t>.</w:t>
      </w:r>
    </w:p>
    <w:p w14:paraId="77F5AC6C" w14:textId="7D039505" w:rsidR="00ED5733" w:rsidRPr="00ED5733" w:rsidRDefault="005F06AD" w:rsidP="005B7F57">
      <w:pPr>
        <w:pStyle w:val="Heading3"/>
      </w:pPr>
      <w:r w:rsidRPr="008E2C93">
        <w:t>Pour les</w:t>
      </w:r>
      <w:r w:rsidR="006F1234" w:rsidRPr="008E2C93">
        <w:t xml:space="preserve"> organisations-</w:t>
      </w:r>
      <w:r w:rsidRPr="008E2C93">
        <w:t>membres</w:t>
      </w:r>
      <w:r w:rsidR="00B03BC7">
        <w:t xml:space="preserve"> : </w:t>
      </w:r>
      <w:r w:rsidR="00BC6DE0">
        <w:t>passer une innovation à l’échelle</w:t>
      </w:r>
    </w:p>
    <w:p w14:paraId="5587795B" w14:textId="364824F8" w:rsidR="005E2B36" w:rsidRDefault="0076011D" w:rsidP="005056AC">
      <w:r>
        <w:t xml:space="preserve">Les leaders du SIIO </w:t>
      </w:r>
      <w:proofErr w:type="spellStart"/>
      <w:r>
        <w:t>Géofluence</w:t>
      </w:r>
      <w:proofErr w:type="spellEnd"/>
      <w:r>
        <w:t xml:space="preserve"> ont mentionné </w:t>
      </w:r>
      <w:r w:rsidR="00DF1462">
        <w:t>deux</w:t>
      </w:r>
      <w:r>
        <w:t xml:space="preserve"> arguments</w:t>
      </w:r>
      <w:r w:rsidR="00DF1462">
        <w:t xml:space="preserve"> principaux</w:t>
      </w:r>
      <w:r>
        <w:t xml:space="preserve"> qui les </w:t>
      </w:r>
      <w:r w:rsidR="00DF1462">
        <w:t>ont</w:t>
      </w:r>
      <w:r>
        <w:t xml:space="preserve"> motivés à déléguer le SIIO à la méta-organisation ROBVQ</w:t>
      </w:r>
      <w:r w:rsidR="00DF1462">
        <w:t> : la capacité et la légitimité de la méta-organisation à gérer des ressources mutualisées (section 4.2.1.1) et à mobiliser ses membres (section 4.2.1.2).</w:t>
      </w:r>
    </w:p>
    <w:p w14:paraId="6BA3EC0E" w14:textId="2CDE9B1A" w:rsidR="0004635E" w:rsidRDefault="00B31471" w:rsidP="00B374E6">
      <w:pPr>
        <w:pStyle w:val="Heading4"/>
      </w:pPr>
      <w:r>
        <w:t>Gestion des ressources mutualisées</w:t>
      </w:r>
    </w:p>
    <w:p w14:paraId="29738AE3" w14:textId="4D15948A" w:rsidR="0004635E" w:rsidRDefault="0004635E" w:rsidP="005056AC">
      <w:r>
        <w:t xml:space="preserve">Les OBV leaders ont assumé les coûts de développement du SIIO </w:t>
      </w:r>
      <w:proofErr w:type="spellStart"/>
      <w:r>
        <w:t>Géofluence</w:t>
      </w:r>
      <w:proofErr w:type="spellEnd"/>
      <w:r>
        <w:t>. La pérennisation de l’outil nécessitait toutefois de trouver un modèle économique permettant de répartir les coûts de maintenance et développement sur l’ensemble des OBV parties prenantes.</w:t>
      </w:r>
      <w:r w:rsidR="00B31471">
        <w:t xml:space="preserve"> En outre, les tâches techniques de maintenance étaient assumées par du personnel des OBV leaders : bien qu’ils en aient la compétence technique, les OBV estimaient que ce n’étaient pas leur rôle.</w:t>
      </w:r>
    </w:p>
    <w:p w14:paraId="4FF04142" w14:textId="540FA663" w:rsidR="00BB6047" w:rsidRDefault="00BB6047" w:rsidP="005056AC">
      <w:pPr>
        <w:pStyle w:val="Quote"/>
      </w:pPr>
      <w:r w:rsidRPr="000B38A9">
        <w:rPr>
          <w:i w:val="0"/>
          <w:iCs w:val="0"/>
        </w:rPr>
        <w:t>« </w:t>
      </w:r>
      <w:r>
        <w:t>O</w:t>
      </w:r>
      <w:r w:rsidRPr="00BB6047">
        <w:t>n voulait que ça</w:t>
      </w:r>
      <w:r>
        <w:t xml:space="preserve"> ne</w:t>
      </w:r>
      <w:r w:rsidRPr="00BB6047">
        <w:t xml:space="preserve"> </w:t>
      </w:r>
      <w:r w:rsidR="000B38A9">
        <w:t>repose</w:t>
      </w:r>
      <w:r w:rsidRPr="00BB6047">
        <w:t xml:space="preserve"> plus sur les épaules d'un OBV spécifique</w:t>
      </w:r>
      <w:r w:rsidR="006F3CB7">
        <w:t xml:space="preserve"> </w:t>
      </w:r>
      <w:r w:rsidR="006F3CB7" w:rsidRPr="006F3CB7">
        <w:rPr>
          <w:i w:val="0"/>
          <w:iCs w:val="0"/>
        </w:rPr>
        <w:t>[…]</w:t>
      </w:r>
      <w:r w:rsidRPr="00BB6047">
        <w:t xml:space="preserve"> de faire l'administration, la gestion, l'information, le maintien de base de toute l'infrastructure.</w:t>
      </w:r>
      <w:r w:rsidRPr="000B38A9">
        <w:rPr>
          <w:i w:val="0"/>
          <w:iCs w:val="0"/>
        </w:rPr>
        <w:t> »</w:t>
      </w:r>
      <w:r w:rsidR="005A638D">
        <w:t xml:space="preserve"> </w:t>
      </w:r>
      <w:r w:rsidR="005A638D" w:rsidRPr="000B38A9">
        <w:rPr>
          <w:i w:val="0"/>
          <w:iCs w:val="0"/>
        </w:rPr>
        <w:t>7K7VC7</w:t>
      </w:r>
    </w:p>
    <w:p w14:paraId="3F77A16A" w14:textId="77777777" w:rsidR="006F3CB7" w:rsidRPr="006F3CB7" w:rsidRDefault="006F3CB7" w:rsidP="006F3CB7"/>
    <w:p w14:paraId="7E0461AA" w14:textId="776EFD34" w:rsidR="00E91F0F" w:rsidRPr="00157E86" w:rsidRDefault="00157E86" w:rsidP="005056AC">
      <w:pPr>
        <w:pStyle w:val="Quote"/>
      </w:pPr>
      <w:r w:rsidRPr="000B38A9">
        <w:rPr>
          <w:i w:val="0"/>
          <w:iCs w:val="0"/>
        </w:rPr>
        <w:t>«</w:t>
      </w:r>
      <w:r>
        <w:t> </w:t>
      </w:r>
      <w:r w:rsidRPr="00157E86">
        <w:t>Moi je suis beaucoup sur le terrain</w:t>
      </w:r>
      <w:r w:rsidR="00C13109">
        <w:t>.</w:t>
      </w:r>
      <w:r w:rsidRPr="00157E86">
        <w:t xml:space="preserve"> </w:t>
      </w:r>
      <w:r w:rsidR="00F34EAD">
        <w:t>J</w:t>
      </w:r>
      <w:r w:rsidR="00702F05" w:rsidRPr="00157E86">
        <w:t>e n’ai pas</w:t>
      </w:r>
      <w:r w:rsidRPr="00157E86">
        <w:t xml:space="preserve"> </w:t>
      </w:r>
      <w:r w:rsidR="00F34EAD">
        <w:t>toujours</w:t>
      </w:r>
      <w:r w:rsidRPr="00157E86">
        <w:t xml:space="preserve"> le temps de faire des suivis courriel. Je peux développer des nouveaux formulaires, mais c'est difficile</w:t>
      </w:r>
      <w:r w:rsidR="00F34EAD">
        <w:t xml:space="preserve"> </w:t>
      </w:r>
      <w:r w:rsidRPr="00157E86">
        <w:t xml:space="preserve">pour moi, de faire la communication, la gestion... </w:t>
      </w:r>
      <w:r w:rsidR="00C13109">
        <w:t>On a établi</w:t>
      </w:r>
      <w:r w:rsidRPr="00157E86">
        <w:t xml:space="preserve"> un comité</w:t>
      </w:r>
      <w:r w:rsidR="008344A2">
        <w:t xml:space="preserve"> </w:t>
      </w:r>
      <w:r w:rsidR="008344A2">
        <w:rPr>
          <w:i w:val="0"/>
          <w:iCs w:val="0"/>
        </w:rPr>
        <w:t>[exécutif]</w:t>
      </w:r>
      <w:r w:rsidRPr="00157E86">
        <w:t xml:space="preserve"> stable </w:t>
      </w:r>
      <w:r w:rsidR="00F34EAD">
        <w:t>pour cela</w:t>
      </w:r>
      <w:r w:rsidRPr="00157E86">
        <w:t>.</w:t>
      </w:r>
      <w:r>
        <w:t> </w:t>
      </w:r>
      <w:r w:rsidRPr="000B38A9">
        <w:rPr>
          <w:i w:val="0"/>
          <w:iCs w:val="0"/>
        </w:rPr>
        <w:t>»</w:t>
      </w:r>
      <w:r w:rsidR="00702F05" w:rsidRPr="000B38A9">
        <w:rPr>
          <w:i w:val="0"/>
          <w:iCs w:val="0"/>
        </w:rPr>
        <w:t xml:space="preserve"> L25JP7</w:t>
      </w:r>
    </w:p>
    <w:p w14:paraId="34457080" w14:textId="60CDD70A" w:rsidR="00781B1A" w:rsidRDefault="00781B1A" w:rsidP="005056AC">
      <w:r>
        <w:t>Le ROBVQ ayant pour</w:t>
      </w:r>
      <w:r w:rsidR="00112BB6">
        <w:t xml:space="preserve"> </w:t>
      </w:r>
      <w:r w:rsidR="006879A3">
        <w:t>fonction</w:t>
      </w:r>
      <w:r>
        <w:t xml:space="preserve"> d’assurer la gestion des ressources mutualisées entre ses membres, la méta-organisation a été identifié comme l’entité la mieux à même d’assurer une gestion et une pérennisation du SIIO.</w:t>
      </w:r>
      <w:r w:rsidR="00112BB6">
        <w:t xml:space="preserve"> Cette perception était également motivée par le fait que le ROBVQ assumait déjà la gestion de ressources numériques mutualisées, telle que la solution AGIR</w:t>
      </w:r>
      <w:r w:rsidR="00837CED">
        <w:t>E</w:t>
      </w:r>
      <w:r w:rsidR="00112BB6">
        <w:t>.</w:t>
      </w:r>
    </w:p>
    <w:p w14:paraId="36E42BC7" w14:textId="00D542C2" w:rsidR="0023099B" w:rsidRPr="00F04B84" w:rsidRDefault="000916DF" w:rsidP="005056AC">
      <w:pPr>
        <w:pStyle w:val="Quote"/>
      </w:pPr>
      <w:r w:rsidRPr="000B38A9">
        <w:rPr>
          <w:i w:val="0"/>
          <w:iCs w:val="0"/>
        </w:rPr>
        <w:t>« </w:t>
      </w:r>
      <w:r>
        <w:t>O</w:t>
      </w:r>
      <w:r w:rsidRPr="000916DF">
        <w:t>n a un rôle qui est d'appuyer les organismes de bassin</w:t>
      </w:r>
      <w:r w:rsidR="00FB1678">
        <w:t>s</w:t>
      </w:r>
      <w:r w:rsidRPr="000916DF">
        <w:t xml:space="preserve"> versant</w:t>
      </w:r>
      <w:r w:rsidR="00FB1678">
        <w:t>s</w:t>
      </w:r>
      <w:r w:rsidRPr="000916DF">
        <w:t xml:space="preserve"> dans la mise en œuvre de la gestion intégrée des ressources en eau</w:t>
      </w:r>
      <w:r>
        <w:t>.</w:t>
      </w:r>
      <w:r w:rsidRPr="000916DF">
        <w:t xml:space="preserve"> </w:t>
      </w:r>
      <w:r>
        <w:t>P</w:t>
      </w:r>
      <w:r w:rsidRPr="000916DF">
        <w:t>ar exemple</w:t>
      </w:r>
      <w:r>
        <w:t>,</w:t>
      </w:r>
      <w:r w:rsidRPr="000916DF">
        <w:t xml:space="preserve"> AGIR</w:t>
      </w:r>
      <w:r w:rsidR="00837CED">
        <w:t>E</w:t>
      </w:r>
      <w:r w:rsidR="00FB1678">
        <w:t xml:space="preserve">, </w:t>
      </w:r>
      <w:r w:rsidR="00FB1678" w:rsidRPr="00FB1678">
        <w:rPr>
          <w:i w:val="0"/>
          <w:iCs w:val="0"/>
        </w:rPr>
        <w:t>[…]</w:t>
      </w:r>
      <w:r w:rsidR="00FB1678">
        <w:t xml:space="preserve"> ce</w:t>
      </w:r>
      <w:r w:rsidRPr="000916DF">
        <w:t xml:space="preserve"> n’est pas juste une base de données o</w:t>
      </w:r>
      <w:r>
        <w:t>ù</w:t>
      </w:r>
      <w:r w:rsidRPr="000916DF">
        <w:t xml:space="preserve"> on compile de l'information</w:t>
      </w:r>
      <w:r w:rsidR="00F04B84">
        <w:t> :</w:t>
      </w:r>
      <w:r w:rsidRPr="000916DF">
        <w:t xml:space="preserve"> c'est aussi utilisé</w:t>
      </w:r>
      <w:r>
        <w:t xml:space="preserve"> p</w:t>
      </w:r>
      <w:r w:rsidRPr="000916DF">
        <w:t>ar les OBV pour faciliter leur travail.</w:t>
      </w:r>
      <w:r>
        <w:t> </w:t>
      </w:r>
      <w:r w:rsidRPr="000B38A9">
        <w:rPr>
          <w:i w:val="0"/>
          <w:iCs w:val="0"/>
        </w:rPr>
        <w:t>»</w:t>
      </w:r>
      <w:r w:rsidR="00F04B84" w:rsidRPr="000B38A9">
        <w:rPr>
          <w:i w:val="0"/>
          <w:iCs w:val="0"/>
        </w:rPr>
        <w:t xml:space="preserve"> P21WX1</w:t>
      </w:r>
    </w:p>
    <w:p w14:paraId="620DE876" w14:textId="34A18D79" w:rsidR="00B346C9" w:rsidRDefault="00B31471" w:rsidP="005056AC">
      <w:r>
        <w:t xml:space="preserve">Pour ce qui est de la pérennisation économique, les OBV leaders ont dans un premier temps établi une méta-organisation dédiée : le </w:t>
      </w:r>
      <w:r w:rsidR="003472F8">
        <w:t xml:space="preserve">comité exécutif de </w:t>
      </w:r>
      <w:proofErr w:type="spellStart"/>
      <w:r w:rsidR="003472F8">
        <w:t>Géofluence</w:t>
      </w:r>
      <w:proofErr w:type="spellEnd"/>
      <w:r>
        <w:t>.</w:t>
      </w:r>
      <w:r w:rsidR="00F8413E">
        <w:t xml:space="preserve"> Cette méta-organisation prévoit à la fois un système de souscription pour les OBV utilisateurs de la solution, et un cadre de gouvernance des développements à prévoir.</w:t>
      </w:r>
      <w:r w:rsidR="00AE20A8">
        <w:t xml:space="preserve"> Du fait de </w:t>
      </w:r>
      <w:r w:rsidR="00837CED">
        <w:t xml:space="preserve">son rôle </w:t>
      </w:r>
      <w:r w:rsidR="00AE20A8">
        <w:t xml:space="preserve">d’animation du réseau des OBV, le ROBVQ s’est vu confier </w:t>
      </w:r>
      <w:r w:rsidR="00742140">
        <w:t xml:space="preserve">les tâches opérationnelles du </w:t>
      </w:r>
      <w:r w:rsidR="003472F8">
        <w:t>comité exécutif.</w:t>
      </w:r>
    </w:p>
    <w:p w14:paraId="3FC3E4C9" w14:textId="33C476CF" w:rsidR="00E53396" w:rsidRPr="00E53396" w:rsidRDefault="00E53396" w:rsidP="005056AC">
      <w:pPr>
        <w:pStyle w:val="Quote"/>
      </w:pPr>
      <w:r w:rsidRPr="000B38A9">
        <w:rPr>
          <w:i w:val="0"/>
          <w:iCs w:val="0"/>
        </w:rPr>
        <w:t>«</w:t>
      </w:r>
      <w:r w:rsidR="000B38A9">
        <w:rPr>
          <w:i w:val="0"/>
          <w:iCs w:val="0"/>
        </w:rPr>
        <w:t xml:space="preserve"> </w:t>
      </w:r>
      <w:r w:rsidR="000B38A9" w:rsidRPr="000B38A9">
        <w:t>C’est eux</w:t>
      </w:r>
      <w:r w:rsidR="000B38A9">
        <w:t xml:space="preserve"> </w:t>
      </w:r>
      <w:r w:rsidR="00D93681">
        <w:rPr>
          <w:i w:val="0"/>
          <w:iCs w:val="0"/>
        </w:rPr>
        <w:t>[le ROBVQ]</w:t>
      </w:r>
      <w:r w:rsidR="008E5705">
        <w:rPr>
          <w:i w:val="0"/>
          <w:iCs w:val="0"/>
        </w:rPr>
        <w:t xml:space="preserve"> qui</w:t>
      </w:r>
      <w:r w:rsidRPr="00E53396">
        <w:t xml:space="preserve"> relancent les OBV intéressés pour </w:t>
      </w:r>
      <w:r w:rsidR="00B912F8">
        <w:t>collecter les cotisations</w:t>
      </w:r>
      <w:r>
        <w:t>,</w:t>
      </w:r>
      <w:r w:rsidRPr="00E53396">
        <w:t xml:space="preserve"> </w:t>
      </w:r>
      <w:r>
        <w:t>et</w:t>
      </w:r>
      <w:r w:rsidRPr="00E53396">
        <w:t xml:space="preserve"> c'est aussi eux qui font les communications importantes par rapport à l'initiative. Donc finalement avec le comité exécutif, on s'assure d'avoir le meilleur résultat.</w:t>
      </w:r>
      <w:r w:rsidRPr="008E5705">
        <w:rPr>
          <w:i w:val="0"/>
          <w:iCs w:val="0"/>
        </w:rPr>
        <w:t xml:space="preserve"> » </w:t>
      </w:r>
      <w:r w:rsidR="004C008C" w:rsidRPr="008E5705">
        <w:rPr>
          <w:i w:val="0"/>
          <w:iCs w:val="0"/>
        </w:rPr>
        <w:t>L25JP7</w:t>
      </w:r>
    </w:p>
    <w:p w14:paraId="6F841AC4" w14:textId="772D0917" w:rsidR="00112BB6" w:rsidRDefault="00F8413E" w:rsidP="005056AC">
      <w:r>
        <w:t>Pour ce qui est de la maintenance technique,</w:t>
      </w:r>
      <w:r w:rsidR="00112BB6">
        <w:t xml:space="preserve"> cette tâche a également été perçue par les OBV comme étant cohérente avec l</w:t>
      </w:r>
      <w:r w:rsidR="00837CED">
        <w:t xml:space="preserve">a fonction </w:t>
      </w:r>
      <w:r w:rsidR="00112BB6">
        <w:t>de gestion des ressources mutualisées dont est doté le ROBVQ. Néanmoins, la méta-organisation ne disposant pas de ressources lui permettant d’assurer les tâches techniques nécessaires, le ROBVQ a délégué l</w:t>
      </w:r>
      <w:r w:rsidR="00691E68">
        <w:t>’hébergement et la maintenance de l’outil à son prestataire technique habituel.</w:t>
      </w:r>
    </w:p>
    <w:p w14:paraId="74EE3C4A" w14:textId="6C1DA497" w:rsidR="009C6954" w:rsidRPr="00BE75BC" w:rsidRDefault="00E266B5" w:rsidP="005056AC">
      <w:pPr>
        <w:pStyle w:val="Quote"/>
      </w:pPr>
      <w:r w:rsidRPr="008E5705">
        <w:rPr>
          <w:i w:val="0"/>
          <w:iCs w:val="0"/>
        </w:rPr>
        <w:t>« </w:t>
      </w:r>
      <w:r w:rsidRPr="00E266B5">
        <w:t>Avec le ROBVQ, on a pu aller plus loin. On est en train d'utiliser un autre médium</w:t>
      </w:r>
      <w:r w:rsidR="00C11F23">
        <w:t> :</w:t>
      </w:r>
      <w:r w:rsidRPr="00E266B5">
        <w:t xml:space="preserve"> on va être hébergé</w:t>
      </w:r>
      <w:r w:rsidR="00241F65">
        <w:t>s</w:t>
      </w:r>
      <w:r w:rsidRPr="00E266B5">
        <w:t xml:space="preserve"> par </w:t>
      </w:r>
      <w:r w:rsidR="00241F65">
        <w:rPr>
          <w:i w:val="0"/>
          <w:iCs w:val="0"/>
        </w:rPr>
        <w:t>[…]</w:t>
      </w:r>
      <w:r w:rsidRPr="00E266B5">
        <w:t xml:space="preserve"> le même </w:t>
      </w:r>
      <w:r w:rsidR="00241F65">
        <w:t>fournisseur</w:t>
      </w:r>
      <w:r w:rsidRPr="00E266B5">
        <w:t xml:space="preserve"> qui s'occupe d</w:t>
      </w:r>
      <w:r w:rsidR="00837CED">
        <w:t>’</w:t>
      </w:r>
      <w:r w:rsidRPr="00E266B5">
        <w:t>AGIR</w:t>
      </w:r>
      <w:r w:rsidR="00837CED">
        <w:t>E</w:t>
      </w:r>
      <w:r w:rsidRPr="00E266B5">
        <w:t>, la grosse base de données pour le plan directeur de l'eau des OBV.</w:t>
      </w:r>
      <w:r>
        <w:t> </w:t>
      </w:r>
      <w:r w:rsidRPr="008E5705">
        <w:rPr>
          <w:i w:val="0"/>
          <w:iCs w:val="0"/>
        </w:rPr>
        <w:t>» L25JP7</w:t>
      </w:r>
    </w:p>
    <w:p w14:paraId="11028D10" w14:textId="4907E6A3" w:rsidR="00691E68" w:rsidRDefault="00FF2899" w:rsidP="005056AC">
      <w:r>
        <w:t xml:space="preserve">Le lien entre rôle de gestion des ressources mutualisée, et fonction de pérennisation d’un SIIO, se retrouve dans le cas du GFQ. Ce constat confirme le fait que les acteurs d’un champ peuvent percevoir leur méta-organisation comme étant un acteur pertinent pour l’émergence d’un SIIO. Toutefois, les méta-organisations peuvent adopter un rôle plus ou moins large au sein de ce SIIO. Dans l’exemple de </w:t>
      </w:r>
      <w:proofErr w:type="spellStart"/>
      <w:r>
        <w:t>Géofluence</w:t>
      </w:r>
      <w:proofErr w:type="spellEnd"/>
      <w:r>
        <w:t>, la méta-organisation s’est positionnée en soutien</w:t>
      </w:r>
      <w:r w:rsidR="00CA0773">
        <w:t> : elle a rejoint une initiative existante, et a mobilisé des ressources externes. Dans le cas du RESAM, GFQ a adopté un rôle plus central : elle s’est dotée des expertises et outils lui permettant d’assurer en interne la gestion technique et organisationnelle du SIIO.</w:t>
      </w:r>
    </w:p>
    <w:p w14:paraId="1F1EA191" w14:textId="25CF241B" w:rsidR="0076011D" w:rsidRDefault="00CA0773" w:rsidP="00B374E6">
      <w:pPr>
        <w:pStyle w:val="Heading4"/>
      </w:pPr>
      <w:r>
        <w:t>Relation</w:t>
      </w:r>
      <w:r w:rsidR="000C6C32">
        <w:t>s</w:t>
      </w:r>
      <w:r>
        <w:t xml:space="preserve"> entre les organisations du champ</w:t>
      </w:r>
    </w:p>
    <w:p w14:paraId="45BACE17" w14:textId="08247705" w:rsidR="00CA0773" w:rsidRDefault="00CA201E" w:rsidP="005056AC">
      <w:r>
        <w:t xml:space="preserve">Les atouts des méta-organisations ne se situent pas </w:t>
      </w:r>
      <w:r w:rsidR="003B7BB0">
        <w:t xml:space="preserve">uniquement </w:t>
      </w:r>
      <w:r w:rsidR="00AB34F8">
        <w:t>dans</w:t>
      </w:r>
      <w:r w:rsidR="005D2F71">
        <w:t xml:space="preserve"> leur capacité</w:t>
      </w:r>
      <w:r w:rsidR="00AB34F8">
        <w:t xml:space="preserve"> à créer un cadre </w:t>
      </w:r>
      <w:r w:rsidR="006D6BD8">
        <w:t>de gouvernance collectif adéquat à la maintenance du SIIO : elles sont également dotées d</w:t>
      </w:r>
      <w:r w:rsidR="00EB57AA">
        <w:t>’outils leur permettant d’établir et renforcer la confiance entre une organisation-membre et le SIIO.</w:t>
      </w:r>
    </w:p>
    <w:p w14:paraId="79F6A440" w14:textId="36C8EE61" w:rsidR="00AE1F0D" w:rsidRDefault="000B099D" w:rsidP="005056AC">
      <w:r>
        <w:t>Pour ce qui est de l’établissement de la confiance</w:t>
      </w:r>
      <w:r w:rsidR="006D016D">
        <w:t xml:space="preserve"> des organisations envers le SIIO</w:t>
      </w:r>
      <w:r>
        <w:t xml:space="preserve">, </w:t>
      </w:r>
      <w:r w:rsidR="00CF0872">
        <w:t xml:space="preserve">la méta-organisation </w:t>
      </w:r>
      <w:r w:rsidR="00BB64C8">
        <w:t xml:space="preserve">bénéficie d’un </w:t>
      </w:r>
      <w:r w:rsidR="00387BE1">
        <w:t>canal</w:t>
      </w:r>
      <w:r w:rsidR="00BB64C8">
        <w:t xml:space="preserve"> privilégié auprès </w:t>
      </w:r>
      <w:r w:rsidR="00387BE1">
        <w:t>de chacun de ces membres</w:t>
      </w:r>
      <w:r w:rsidR="00BB64C8">
        <w:t xml:space="preserve">. Théoriquement au moins, ce </w:t>
      </w:r>
      <w:r w:rsidR="00387BE1">
        <w:t>canal</w:t>
      </w:r>
      <w:r w:rsidR="00BB64C8">
        <w:t xml:space="preserve"> s’établit alors que l’organisation décide de devenir membre de la méta-organisation</w:t>
      </w:r>
      <w:r w:rsidR="003A02D9">
        <w:t xml:space="preserve"> et de lui déléguer certaines fonctions</w:t>
      </w:r>
      <w:r w:rsidR="009A1180">
        <w:t> : représentation</w:t>
      </w:r>
      <w:r w:rsidR="006675C7">
        <w:t xml:space="preserve"> et plaidoyer</w:t>
      </w:r>
      <w:r w:rsidR="009A1180">
        <w:t xml:space="preserve"> auprès des autorités, </w:t>
      </w:r>
      <w:r w:rsidR="006675C7">
        <w:t xml:space="preserve">veille et information quant à l’actualité, sessions de renforcement des capacités… </w:t>
      </w:r>
      <w:r w:rsidR="00C64F69">
        <w:t xml:space="preserve">Grâce à ces canaux préétablis, la méta-organisation peut efficacement </w:t>
      </w:r>
      <w:r w:rsidR="00386DA7">
        <w:t xml:space="preserve">solliciter et promouvoir un SIIO existant auprès d’une large base d’organisations. </w:t>
      </w:r>
      <w:r w:rsidR="00E72F50">
        <w:t xml:space="preserve">Cette efficacité a constitué un atout majeur dans le contexte du </w:t>
      </w:r>
      <w:r w:rsidR="009663E5">
        <w:t>ROBVQ</w:t>
      </w:r>
      <w:r w:rsidR="00DD03FD">
        <w:t>. En effet,</w:t>
      </w:r>
      <w:r w:rsidR="00BA21D3">
        <w:t xml:space="preserve"> les OBV </w:t>
      </w:r>
      <w:r w:rsidR="00DD03FD">
        <w:t>entretiennent</w:t>
      </w:r>
      <w:r w:rsidR="00BA21D3">
        <w:t xml:space="preserve"> habituellement des relations avec d’autres OBV dont ils partagent une frontière ou </w:t>
      </w:r>
      <w:r w:rsidR="00DD03FD">
        <w:t xml:space="preserve">la gestion d’une ressource en eau : les leaders du SIIO </w:t>
      </w:r>
      <w:proofErr w:type="spellStart"/>
      <w:r w:rsidR="00DD03FD">
        <w:t>Géofluence</w:t>
      </w:r>
      <w:proofErr w:type="spellEnd"/>
      <w:r w:rsidR="00DD03FD">
        <w:t xml:space="preserve"> connaissaient peu les OBV </w:t>
      </w:r>
      <w:r w:rsidR="009663E5">
        <w:t>opérant dans d’autres régions, et avaient peu de ressources à leur disposition pour les atteindre.</w:t>
      </w:r>
    </w:p>
    <w:p w14:paraId="556DC8AB" w14:textId="65ED9AAF" w:rsidR="009B17FF" w:rsidRPr="001E509E" w:rsidRDefault="001E509E" w:rsidP="005056AC">
      <w:pPr>
        <w:pStyle w:val="Quote"/>
      </w:pPr>
      <w:r w:rsidRPr="008E5705">
        <w:rPr>
          <w:i w:val="0"/>
          <w:iCs w:val="0"/>
        </w:rPr>
        <w:t>« </w:t>
      </w:r>
      <w:r>
        <w:t>O</w:t>
      </w:r>
      <w:r w:rsidRPr="001E509E">
        <w:t xml:space="preserve">n </w:t>
      </w:r>
      <w:r>
        <w:t xml:space="preserve">ne </w:t>
      </w:r>
      <w:r w:rsidRPr="001E509E">
        <w:t xml:space="preserve">connaît pas spécifiquement </w:t>
      </w:r>
      <w:r>
        <w:t xml:space="preserve">les </w:t>
      </w:r>
      <w:r w:rsidRPr="001E509E">
        <w:t>40 OBV</w:t>
      </w:r>
      <w:r>
        <w:t>. O</w:t>
      </w:r>
      <w:r w:rsidRPr="001E509E">
        <w:t xml:space="preserve">n a une façon de </w:t>
      </w:r>
      <w:r w:rsidR="00C11F23">
        <w:t>tous</w:t>
      </w:r>
      <w:r w:rsidRPr="001E509E">
        <w:t xml:space="preserve"> se rencontrer, mais on fait surtout avec les autres OBV qui sont communs avec nos frontières ou des problématiques similaires dans le réseau. Donc le ROBVQ pouvait atteindre tout le monde plus facilement.</w:t>
      </w:r>
      <w:r>
        <w:t> </w:t>
      </w:r>
      <w:r w:rsidRPr="008E5705">
        <w:rPr>
          <w:i w:val="0"/>
          <w:iCs w:val="0"/>
        </w:rPr>
        <w:t xml:space="preserve">» </w:t>
      </w:r>
      <w:r w:rsidR="0014011E" w:rsidRPr="008E5705">
        <w:rPr>
          <w:i w:val="0"/>
          <w:iCs w:val="0"/>
        </w:rPr>
        <w:t>7K7VC7</w:t>
      </w:r>
    </w:p>
    <w:p w14:paraId="7CA4E326" w14:textId="1AF636E3" w:rsidR="00936ECC" w:rsidRDefault="008C3654" w:rsidP="005056AC">
      <w:r>
        <w:t>Pour ce qui est du renforcement de la confiance</w:t>
      </w:r>
      <w:r w:rsidR="006D016D">
        <w:t xml:space="preserve"> des organisations envers le SIIO, </w:t>
      </w:r>
      <w:r w:rsidR="000178BF">
        <w:t xml:space="preserve">la méta-organisation </w:t>
      </w:r>
      <w:r w:rsidR="00C87F5B">
        <w:t xml:space="preserve">peut </w:t>
      </w:r>
      <w:r w:rsidR="001E38D1">
        <w:t xml:space="preserve">donner à ses membres un pouvoir collectif sur la solution technique. En </w:t>
      </w:r>
      <w:r w:rsidR="00BA6A32">
        <w:t xml:space="preserve">d’autres termes, les organisations peuvent avoir davantage confiance envers une solution qui est sous la responsabilité d’une méta-organisation qu’ils contrôlent, plutôt qu’un fournisseur extérieur qu’ils ne contrôlent pas. </w:t>
      </w:r>
      <w:r w:rsidR="00D44444">
        <w:t>Ce</w:t>
      </w:r>
      <w:r w:rsidR="00AE28DE">
        <w:t xml:space="preserve">t argument a notamment été relevé dans le contexte du SIIO </w:t>
      </w:r>
      <w:proofErr w:type="spellStart"/>
      <w:r w:rsidR="00AE28DE">
        <w:t>Géofluence</w:t>
      </w:r>
      <w:proofErr w:type="spellEnd"/>
      <w:r w:rsidR="00AE28DE">
        <w:t>.</w:t>
      </w:r>
    </w:p>
    <w:p w14:paraId="273335D6" w14:textId="55C65D00" w:rsidR="00BA71A0" w:rsidRPr="00BA71A0" w:rsidRDefault="00BA71A0" w:rsidP="005056AC">
      <w:pPr>
        <w:pStyle w:val="Quote"/>
      </w:pPr>
      <w:r w:rsidRPr="008E5705">
        <w:rPr>
          <w:i w:val="0"/>
          <w:iCs w:val="0"/>
        </w:rPr>
        <w:t>« </w:t>
      </w:r>
      <w:r>
        <w:t>O</w:t>
      </w:r>
      <w:r w:rsidRPr="00BA71A0">
        <w:t>n a commencé avec la base de données qui étaient centralisée chez nous</w:t>
      </w:r>
      <w:r w:rsidR="006301E6">
        <w:t>.</w:t>
      </w:r>
      <w:r w:rsidRPr="00BA71A0">
        <w:t xml:space="preserve"> </w:t>
      </w:r>
      <w:r w:rsidR="006301E6">
        <w:t>M</w:t>
      </w:r>
      <w:r w:rsidRPr="00BA71A0">
        <w:t xml:space="preserve">ais on trouvait aussi </w:t>
      </w:r>
      <w:r w:rsidR="006D09DE" w:rsidRPr="00BA71A0">
        <w:t>qu’au</w:t>
      </w:r>
      <w:r w:rsidRPr="00BA71A0">
        <w:t xml:space="preserve"> niveau</w:t>
      </w:r>
      <w:r>
        <w:t xml:space="preserve"> s</w:t>
      </w:r>
      <w:r w:rsidRPr="00BA71A0">
        <w:t xml:space="preserve">écurité et transparence, ça serait plus logique que </w:t>
      </w:r>
      <w:r w:rsidR="00D458F9" w:rsidRPr="00BA71A0">
        <w:t>ça ne soit pas</w:t>
      </w:r>
      <w:r w:rsidRPr="00BA71A0">
        <w:t xml:space="preserve"> un OBV </w:t>
      </w:r>
      <w:r w:rsidR="006301E6">
        <w:t>qui</w:t>
      </w:r>
      <w:r w:rsidRPr="00BA71A0">
        <w:t xml:space="preserve"> centralise l'information des 40 autres, mais le ROBVQ. C'était plu</w:t>
      </w:r>
      <w:r w:rsidR="006301E6">
        <w:t>tôt</w:t>
      </w:r>
      <w:r w:rsidRPr="00BA71A0">
        <w:t xml:space="preserve"> conceptuel</w:t>
      </w:r>
      <w:r>
        <w:t>,</w:t>
      </w:r>
      <w:r w:rsidRPr="00BA71A0">
        <w:t xml:space="preserve"> parce que dans les faits </w:t>
      </w:r>
      <w:r w:rsidR="00D458F9" w:rsidRPr="00BA71A0">
        <w:t>ça ne changera pas</w:t>
      </w:r>
      <w:r w:rsidRPr="00BA71A0">
        <w:t xml:space="preserve"> </w:t>
      </w:r>
      <w:r w:rsidR="007C658E" w:rsidRPr="00BA71A0">
        <w:t>grand-chose</w:t>
      </w:r>
      <w:r w:rsidRPr="00BA71A0">
        <w:t xml:space="preserve">. Mais j'avais une sensibilité à ce niveau-là au niveau </w:t>
      </w:r>
      <w:r>
        <w:t>des p</w:t>
      </w:r>
      <w:r w:rsidRPr="00BA71A0">
        <w:t>erceptions, disons</w:t>
      </w:r>
      <w:r w:rsidR="006D09DE">
        <w:t>,</w:t>
      </w:r>
      <w:r w:rsidRPr="00BA71A0">
        <w:t xml:space="preserve"> de l'acquisition de cette donnée ou de</w:t>
      </w:r>
      <w:r w:rsidR="006D09DE">
        <w:t xml:space="preserve"> la</w:t>
      </w:r>
      <w:r w:rsidRPr="00BA71A0">
        <w:t xml:space="preserve"> centralisation de cette donnée.</w:t>
      </w:r>
      <w:r w:rsidR="006D09DE">
        <w:t> </w:t>
      </w:r>
      <w:r w:rsidR="006D09DE" w:rsidRPr="008E5705">
        <w:rPr>
          <w:i w:val="0"/>
          <w:iCs w:val="0"/>
        </w:rPr>
        <w:t>» 7K7VC7</w:t>
      </w:r>
    </w:p>
    <w:p w14:paraId="64D0977F" w14:textId="779E241F" w:rsidR="005F7A23" w:rsidRDefault="00F278A9" w:rsidP="005B7F57">
      <w:pPr>
        <w:pStyle w:val="Heading3"/>
      </w:pPr>
      <w:r w:rsidRPr="008E2C93">
        <w:t>Pour les employés ministériels : bénéficier d’un espace d’innovatio</w:t>
      </w:r>
      <w:r w:rsidR="005F7A23" w:rsidRPr="008E2C93">
        <w:t>n</w:t>
      </w:r>
    </w:p>
    <w:p w14:paraId="5AF848CF" w14:textId="010694BF" w:rsidR="004D7E0B" w:rsidRPr="00C92EE9" w:rsidRDefault="00BD4EB7" w:rsidP="005056AC">
      <w:r w:rsidRPr="00C92EE9">
        <w:t xml:space="preserve">Les atouts des méta-organisations ne sont pas seulement recherchées par leurs organisations-membres : </w:t>
      </w:r>
      <w:r w:rsidR="00CF1506" w:rsidRPr="00C92EE9">
        <w:t xml:space="preserve">ils peuvent également être </w:t>
      </w:r>
      <w:r w:rsidR="00C16080" w:rsidRPr="00C92EE9">
        <w:t>pertinents pour les</w:t>
      </w:r>
      <w:r w:rsidR="004D7E0B" w:rsidRPr="00C92EE9">
        <w:t xml:space="preserve"> </w:t>
      </w:r>
      <w:r w:rsidR="00C16080" w:rsidRPr="00C92EE9">
        <w:t>acteurs publics</w:t>
      </w:r>
      <w:r w:rsidR="004D7E0B" w:rsidRPr="00C92EE9">
        <w:t>.</w:t>
      </w:r>
      <w:r w:rsidR="009072C7" w:rsidRPr="00C92EE9">
        <w:t xml:space="preserve"> </w:t>
      </w:r>
    </w:p>
    <w:p w14:paraId="5B8C74DF" w14:textId="36B3D0F0" w:rsidR="00C92EE9" w:rsidRPr="00C92EE9" w:rsidRDefault="00C16080" w:rsidP="005056AC">
      <w:r w:rsidRPr="00C92EE9">
        <w:t>Certaines des données produites par un champ organisationnel sont directement pertinentes pour les ministères</w:t>
      </w:r>
      <w:r w:rsidR="00112FDB" w:rsidRPr="00C92EE9">
        <w:t xml:space="preserve">. </w:t>
      </w:r>
      <w:r w:rsidR="0076371B" w:rsidRPr="00C92EE9">
        <w:t xml:space="preserve">Cependant, </w:t>
      </w:r>
      <w:r w:rsidR="006965D2" w:rsidRPr="00C92EE9">
        <w:t xml:space="preserve">certaines directions ministérielles sont encore confrontées à double-problème d’accès à ces données. </w:t>
      </w:r>
      <w:r w:rsidR="00C92EE9" w:rsidRPr="00C92EE9">
        <w:t>D’une</w:t>
      </w:r>
      <w:r w:rsidR="006965D2" w:rsidRPr="00C92EE9">
        <w:t xml:space="preserve"> part, </w:t>
      </w:r>
      <w:r w:rsidR="00EB3521">
        <w:t>leurs</w:t>
      </w:r>
      <w:r w:rsidR="006965D2" w:rsidRPr="00C92EE9">
        <w:t xml:space="preserve"> systèmes d’information ne sont</w:t>
      </w:r>
      <w:r w:rsidR="00EB3521">
        <w:t xml:space="preserve"> souvent</w:t>
      </w:r>
      <w:r w:rsidR="006965D2" w:rsidRPr="00C92EE9">
        <w:t xml:space="preserve"> pas interopérables avec ceux de</w:t>
      </w:r>
      <w:r w:rsidR="00EB3521">
        <w:t xml:space="preserve"> la société civile</w:t>
      </w:r>
      <w:r w:rsidR="006965D2" w:rsidRPr="00C92EE9">
        <w:t>.</w:t>
      </w:r>
      <w:r w:rsidR="00C92EE9" w:rsidRPr="00C92EE9">
        <w:t xml:space="preserve"> D’autre part, les acteurs de l’écosystème</w:t>
      </w:r>
      <w:r w:rsidR="00EB3521">
        <w:t xml:space="preserve"> peuvent ne pas avoir d’obligation de fournir les données </w:t>
      </w:r>
      <w:r w:rsidR="005045FB">
        <w:t>dont les fonctionnaires ministériels ont besoin.</w:t>
      </w:r>
    </w:p>
    <w:p w14:paraId="738DE9BE" w14:textId="70122D1E" w:rsidR="0076371B" w:rsidRPr="00C92EE9" w:rsidRDefault="005045FB" w:rsidP="005056AC">
      <w:r>
        <w:t>Souvent, les</w:t>
      </w:r>
      <w:r w:rsidR="00C92EE9" w:rsidRPr="00C92EE9">
        <w:t xml:space="preserve"> employés ministériels n’ont pas à eux seuls la capacité d’élaborer des mécanismes incitatifs ou contraignants pour la transmission de données : ils doivent d’abord convaincre leurs directions de l’opportunité et de l’utilité de ces données.</w:t>
      </w:r>
    </w:p>
    <w:p w14:paraId="23A79E75" w14:textId="5DF564E0" w:rsidR="00C92EE9" w:rsidRDefault="00C92EE9" w:rsidP="00C92EE9">
      <w:pPr>
        <w:pStyle w:val="Quote"/>
      </w:pPr>
      <w:r>
        <w:t>«</w:t>
      </w:r>
      <w:r w:rsidR="00281149">
        <w:rPr>
          <w:i w:val="0"/>
          <w:iCs w:val="0"/>
        </w:rPr>
        <w:t xml:space="preserve"> </w:t>
      </w:r>
      <w:r w:rsidR="00281149" w:rsidRPr="00281149">
        <w:t>I</w:t>
      </w:r>
      <w:r>
        <w:t>l s'agirait</w:t>
      </w:r>
      <w:r w:rsidR="00281149">
        <w:t xml:space="preserve"> de bien</w:t>
      </w:r>
      <w:r>
        <w:t xml:space="preserve"> convaincre, ou en tout cas d'alimenter nos autorités pour savoir ce qu'on fait avec ces données-là, </w:t>
      </w:r>
      <w:r w:rsidR="00082449">
        <w:t>quelle est leur utilité</w:t>
      </w:r>
      <w:r>
        <w:t xml:space="preserve">. </w:t>
      </w:r>
      <w:r w:rsidRPr="00082449">
        <w:rPr>
          <w:i w:val="0"/>
          <w:iCs w:val="0"/>
        </w:rPr>
        <w:t>[…] [Aujourd’hui]</w:t>
      </w:r>
      <w:r>
        <w:t xml:space="preserve"> on n'a pas d'orientation, on n'a pas encore l’approbation de notre de nos autorités, parce qu’on ne l’a pas demandée clairement. On n'est pas prêt. </w:t>
      </w:r>
      <w:r w:rsidRPr="00093E2C">
        <w:rPr>
          <w:i w:val="0"/>
          <w:iCs w:val="0"/>
        </w:rPr>
        <w:t>»</w:t>
      </w:r>
      <w:r>
        <w:t xml:space="preserve"> </w:t>
      </w:r>
      <w:r w:rsidRPr="00A81794">
        <w:rPr>
          <w:i w:val="0"/>
          <w:iCs w:val="0"/>
        </w:rPr>
        <w:t>IFPBCC</w:t>
      </w:r>
    </w:p>
    <w:p w14:paraId="7038D45D" w14:textId="480E902D" w:rsidR="00F23CB6" w:rsidRDefault="00F23CB6" w:rsidP="00C92EE9">
      <w:r>
        <w:t>Les employés ministériels bénéficient de cadres de collaboration établis avec l</w:t>
      </w:r>
      <w:r w:rsidR="00715C83">
        <w:t>es</w:t>
      </w:r>
      <w:r>
        <w:t xml:space="preserve"> méta-organisatio</w:t>
      </w:r>
      <w:r w:rsidR="006D2F73">
        <w:t>n</w:t>
      </w:r>
      <w:r w:rsidR="00715C83">
        <w:t>s</w:t>
      </w:r>
      <w:r w:rsidR="00CE775D">
        <w:t xml:space="preserve"> de référence</w:t>
      </w:r>
      <w:r w:rsidR="006D2F73">
        <w:t>.</w:t>
      </w:r>
      <w:r w:rsidR="00CE775D">
        <w:t xml:space="preserve"> Ces cadres de collaboration permettent notamment aux employés de</w:t>
      </w:r>
      <w:r w:rsidR="00715C83">
        <w:t>s</w:t>
      </w:r>
      <w:r w:rsidR="00CE775D">
        <w:t xml:space="preserve"> méta-organisation</w:t>
      </w:r>
      <w:r w:rsidR="00715C83">
        <w:t>s</w:t>
      </w:r>
      <w:r w:rsidR="00CE775D">
        <w:t xml:space="preserve"> et des ministères</w:t>
      </w:r>
      <w:r w:rsidR="006D2F73">
        <w:t xml:space="preserve"> </w:t>
      </w:r>
      <w:r w:rsidR="00CE775D">
        <w:t>d’aligner leurs priorités stratégiques respectives, et d’expérimenter de nouveaux projets associant les acteurs de terrain.</w:t>
      </w:r>
    </w:p>
    <w:p w14:paraId="62D82CDC" w14:textId="4996C586" w:rsidR="00356FEC" w:rsidRDefault="00CE775D" w:rsidP="00356FEC">
      <w:pPr>
        <w:pStyle w:val="Quote"/>
      </w:pPr>
      <w:r>
        <w:t>« L</w:t>
      </w:r>
      <w:r w:rsidR="00356FEC">
        <w:t xml:space="preserve">a voie alternative pour le moment, c'est que les autorités ont décidé de financer </w:t>
      </w:r>
      <w:r w:rsidR="00A81794">
        <w:rPr>
          <w:i w:val="0"/>
          <w:iCs w:val="0"/>
        </w:rPr>
        <w:t xml:space="preserve">[un projet] </w:t>
      </w:r>
      <w:r w:rsidR="00356FEC">
        <w:t>pour collecter ces données numériques. Nous, par la suite</w:t>
      </w:r>
      <w:r w:rsidR="008A5511">
        <w:t>,</w:t>
      </w:r>
      <w:r w:rsidR="00356FEC">
        <w:t xml:space="preserve"> entre professionnels, on s'est dit </w:t>
      </w:r>
      <w:r w:rsidR="00356FEC" w:rsidRPr="00A81794">
        <w:rPr>
          <w:i w:val="0"/>
          <w:iCs w:val="0"/>
        </w:rPr>
        <w:t>[qu’on allait]</w:t>
      </w:r>
      <w:r w:rsidR="00356FEC">
        <w:t xml:space="preserve"> s'asseoir ensemble entre professionnels pour que ce soit efficace et voir ce qu'on peut faire avec ces données-là</w:t>
      </w:r>
      <w:r>
        <w:t xml:space="preserve">. » </w:t>
      </w:r>
      <w:r w:rsidRPr="00A81794">
        <w:rPr>
          <w:i w:val="0"/>
          <w:iCs w:val="0"/>
        </w:rPr>
        <w:t>IFPBCC</w:t>
      </w:r>
    </w:p>
    <w:p w14:paraId="052E78AD" w14:textId="3898FEE6" w:rsidR="00356FEC" w:rsidRDefault="00F413E3" w:rsidP="00C92EE9">
      <w:r>
        <w:t>En expérimentant avec l</w:t>
      </w:r>
      <w:r w:rsidR="00715C83">
        <w:t>es</w:t>
      </w:r>
      <w:r>
        <w:t xml:space="preserve"> méta-organisation</w:t>
      </w:r>
      <w:r w:rsidR="00715C83">
        <w:t>s</w:t>
      </w:r>
      <w:r>
        <w:t>, les employés ministériels apprennent à renforcer leur collaboration avec l’écosystème, mais également avec les autres directions des ministères. Des connaissances et routines se mettent en place, et permettent de définir de nouveaux standards de données.</w:t>
      </w:r>
    </w:p>
    <w:p w14:paraId="4D640883" w14:textId="55ACE9A8" w:rsidR="00D95970" w:rsidRPr="00D95970" w:rsidRDefault="00CE775D" w:rsidP="00D95970">
      <w:pPr>
        <w:pStyle w:val="Quote"/>
      </w:pPr>
      <w:r>
        <w:t xml:space="preserve">« On a fait une première livraison de base de données, puis </w:t>
      </w:r>
      <w:r w:rsidR="00F825E3">
        <w:rPr>
          <w:i w:val="0"/>
          <w:iCs w:val="0"/>
        </w:rPr>
        <w:t>[nos collègues]</w:t>
      </w:r>
      <w:r>
        <w:t xml:space="preserve"> nous</w:t>
      </w:r>
      <w:r w:rsidR="00F825E3">
        <w:t xml:space="preserve"> ont</w:t>
      </w:r>
      <w:r>
        <w:t xml:space="preserve"> dit : c'est bon, on peut gérer ce volume-là, ça fait partie de nos mandats. Donc, c'est comme si on avait fait un pas de plus</w:t>
      </w:r>
      <w:r w:rsidR="00F825E3">
        <w:t xml:space="preserve"> : </w:t>
      </w:r>
      <w:r>
        <w:t xml:space="preserve">maintenant ça se sait, on peut le faire de façon opérationnelle. » </w:t>
      </w:r>
      <w:r w:rsidRPr="00A81794">
        <w:rPr>
          <w:i w:val="0"/>
          <w:iCs w:val="0"/>
        </w:rPr>
        <w:t>IFPBCC</w:t>
      </w:r>
    </w:p>
    <w:p w14:paraId="2D59D68D" w14:textId="3F1B4B43" w:rsidR="005F7A23" w:rsidRDefault="004B0FA0" w:rsidP="00B9385C">
      <w:pPr>
        <w:pStyle w:val="Heading2"/>
      </w:pPr>
      <w:bookmarkStart w:id="14" w:name="_Toc115454554"/>
      <w:r>
        <w:t>F</w:t>
      </w:r>
      <w:r w:rsidR="00544E6D">
        <w:t xml:space="preserve">acteurs </w:t>
      </w:r>
      <w:r w:rsidR="004543B9">
        <w:t xml:space="preserve">influençant la </w:t>
      </w:r>
      <w:r w:rsidR="005F7A23">
        <w:t>capacité d’action des méta-organisations</w:t>
      </w:r>
      <w:bookmarkEnd w:id="14"/>
    </w:p>
    <w:p w14:paraId="162750A0" w14:textId="4335EDF6" w:rsidR="00080ACC" w:rsidRPr="00080ACC" w:rsidRDefault="00117E6F" w:rsidP="005056AC">
      <w:r>
        <w:t>La section précédente</w:t>
      </w:r>
      <w:r w:rsidR="0057459B">
        <w:t xml:space="preserve"> (4.2)</w:t>
      </w:r>
      <w:r>
        <w:t xml:space="preserve"> présentait les atouts</w:t>
      </w:r>
      <w:r w:rsidR="0057459B">
        <w:t xml:space="preserve"> des méta-organisations (tels que perçus par les organisations-membres et les employés ministériels) pour contribuer à l’émergence d’un SIIO. Nous nous intéressons maintenant </w:t>
      </w:r>
      <w:r w:rsidR="00FC6FE4">
        <w:t xml:space="preserve">aux facteurs qui </w:t>
      </w:r>
      <w:r w:rsidR="00425142">
        <w:t>influencent la disposition des méta-organisations à conduire une stratégie de SIIO. Tel qu’expliqué plus tôt (</w:t>
      </w:r>
      <w:r w:rsidR="00DF1462">
        <w:t xml:space="preserve">section </w:t>
      </w:r>
      <w:r w:rsidR="00425142">
        <w:t>2.2.3), nous distinguons les facteurs contextuels</w:t>
      </w:r>
      <w:r w:rsidR="00DF1462">
        <w:t xml:space="preserve"> (section 4.3.1)</w:t>
      </w:r>
      <w:r w:rsidR="00425142">
        <w:t xml:space="preserve"> et dispositionnels</w:t>
      </w:r>
      <w:r w:rsidR="00DF1462">
        <w:t xml:space="preserve"> (section 4.3.2)</w:t>
      </w:r>
      <w:r w:rsidR="00425142">
        <w:t>.</w:t>
      </w:r>
      <w:r w:rsidR="00DF1462">
        <w:t xml:space="preserve"> Nos résultats nous ont amené à identifier une troisième dimension : les facteurs technologiques (section 4.3.3).</w:t>
      </w:r>
    </w:p>
    <w:p w14:paraId="7893EF62" w14:textId="6C77D64B" w:rsidR="005F7A23" w:rsidRPr="005B7F57" w:rsidRDefault="005F7A23" w:rsidP="005B7F57">
      <w:pPr>
        <w:pStyle w:val="Heading3"/>
      </w:pPr>
      <w:r w:rsidRPr="005B7F57">
        <w:t>F</w:t>
      </w:r>
      <w:r w:rsidR="00BC4080" w:rsidRPr="005B7F57">
        <w:t>acteurs contextuels</w:t>
      </w:r>
    </w:p>
    <w:p w14:paraId="09D1BCF9" w14:textId="7DF112D3" w:rsidR="0070766F" w:rsidRDefault="0070766F" w:rsidP="005B7F57">
      <w:pPr>
        <w:keepNext/>
        <w:keepLines/>
      </w:pPr>
      <w:r>
        <w:t xml:space="preserve">Les facteurs contextuels réfèrent aux mécanismes d’influence relevant de l’environnement externe de la méta-organisation. </w:t>
      </w:r>
      <w:r w:rsidR="00BE60DD">
        <w:t>Nous comprenons par « </w:t>
      </w:r>
      <w:r w:rsidR="0073644D">
        <w:t>environnement externe</w:t>
      </w:r>
      <w:r w:rsidR="00BE60DD">
        <w:t> »</w:t>
      </w:r>
      <w:r w:rsidR="0073644D">
        <w:t xml:space="preserve"> tout ce qui ne relève pas d</w:t>
      </w:r>
      <w:r w:rsidR="003501E1">
        <w:t xml:space="preserve">e la structure organisationnelle </w:t>
      </w:r>
      <w:r w:rsidR="00584FAA">
        <w:t xml:space="preserve">propre à la méta-organisation. </w:t>
      </w:r>
      <w:r w:rsidR="008F03AB">
        <w:t xml:space="preserve">En pratique, </w:t>
      </w:r>
      <w:r w:rsidR="00BE60DD">
        <w:t xml:space="preserve">cela inclut les partenaires extérieurs de la méta-organisation (gouvernements, </w:t>
      </w:r>
      <w:r w:rsidR="002A22CD">
        <w:t xml:space="preserve">partenaires techniques…) mais aussi ses organisations-membres, les relations entre ces organisations, </w:t>
      </w:r>
      <w:r w:rsidR="008E6449">
        <w:t>ainsi que</w:t>
      </w:r>
      <w:r w:rsidR="002A22CD">
        <w:t xml:space="preserve"> le champ </w:t>
      </w:r>
      <w:r w:rsidR="008E6449">
        <w:t>organisationnel que la méta-organisation aspire à représenter.</w:t>
      </w:r>
    </w:p>
    <w:p w14:paraId="246C2A94" w14:textId="42C6493F" w:rsidR="007A4024" w:rsidRDefault="007A4024" w:rsidP="00B374E6">
      <w:pPr>
        <w:pStyle w:val="Heading4"/>
      </w:pPr>
      <w:r w:rsidRPr="00AD07EA">
        <w:t>Compétences et vision de long terme</w:t>
      </w:r>
    </w:p>
    <w:p w14:paraId="4A091B38" w14:textId="11EFD4EE" w:rsidR="003A683C" w:rsidRDefault="007A4024" w:rsidP="005056AC">
      <w:r>
        <w:t>Certains des facteurs portent sur les caractéristiques propres à chaque organisation membre de l’écosystème (</w:t>
      </w:r>
      <w:r w:rsidR="00E95025">
        <w:t xml:space="preserve">niveau </w:t>
      </w:r>
      <w:r>
        <w:t>organisationnel)</w:t>
      </w:r>
      <w:r w:rsidR="00E95025">
        <w:t>.</w:t>
      </w:r>
    </w:p>
    <w:p w14:paraId="38C8666F" w14:textId="72EC76D1" w:rsidR="00777AAD" w:rsidRPr="00C816ED" w:rsidRDefault="00C816ED" w:rsidP="005056AC">
      <w:pPr>
        <w:pStyle w:val="Quote"/>
      </w:pPr>
      <w:r w:rsidRPr="00715C83">
        <w:rPr>
          <w:i w:val="0"/>
          <w:iCs w:val="0"/>
        </w:rPr>
        <w:t>« </w:t>
      </w:r>
      <w:r>
        <w:t>A</w:t>
      </w:r>
      <w:r w:rsidRPr="00C816ED">
        <w:t xml:space="preserve">près il faut aussi que les OBV soient </w:t>
      </w:r>
      <w:proofErr w:type="spellStart"/>
      <w:r w:rsidRPr="007E42B4">
        <w:rPr>
          <w:i w:val="0"/>
          <w:iCs w:val="0"/>
        </w:rPr>
        <w:t>willing</w:t>
      </w:r>
      <w:proofErr w:type="spellEnd"/>
      <w:r w:rsidRPr="00C816ED">
        <w:t xml:space="preserve"> de faire ce </w:t>
      </w:r>
      <w:r w:rsidR="005F0393" w:rsidRPr="00C816ED">
        <w:t>saut-là</w:t>
      </w:r>
      <w:r w:rsidR="006E792F">
        <w:t>.</w:t>
      </w:r>
      <w:r w:rsidRPr="00C816ED">
        <w:t xml:space="preserve"> </w:t>
      </w:r>
      <w:r w:rsidR="006E792F">
        <w:t>P</w:t>
      </w:r>
      <w:r w:rsidR="006E792F" w:rsidRPr="00C816ED">
        <w:t>arce qu’il</w:t>
      </w:r>
      <w:r w:rsidRPr="00C816ED">
        <w:t xml:space="preserve"> y a quand même une perte </w:t>
      </w:r>
      <w:r w:rsidRPr="006E792F">
        <w:rPr>
          <w:rStyle w:val="Emphasis"/>
        </w:rPr>
        <w:t>de</w:t>
      </w:r>
      <w:r w:rsidRPr="00C816ED">
        <w:t xml:space="preserve"> contrôle </w:t>
      </w:r>
      <w:r w:rsidR="007E42B4">
        <w:t xml:space="preserve">sur les </w:t>
      </w:r>
      <w:r w:rsidRPr="00C816ED">
        <w:t xml:space="preserve">données, </w:t>
      </w:r>
      <w:r w:rsidR="007E42B4">
        <w:t>sur les</w:t>
      </w:r>
      <w:r w:rsidRPr="00C816ED">
        <w:t xml:space="preserve"> façons de faire</w:t>
      </w:r>
      <w:r w:rsidR="007E42B4">
        <w:t xml:space="preserve"> –</w:t>
      </w:r>
      <w:r w:rsidRPr="00C816ED">
        <w:t xml:space="preserve"> quand tu vas vers un système standardisé.</w:t>
      </w:r>
      <w:r>
        <w:t xml:space="preserve"> »  </w:t>
      </w:r>
      <w:r w:rsidR="006E792F" w:rsidRPr="007E42B4">
        <w:rPr>
          <w:i w:val="0"/>
          <w:iCs w:val="0"/>
        </w:rPr>
        <w:t>1U9HX3</w:t>
      </w:r>
      <w:r w:rsidR="006E792F" w:rsidRPr="006E792F">
        <w:t xml:space="preserve"> </w:t>
      </w:r>
    </w:p>
    <w:p w14:paraId="5713C025" w14:textId="0E051500" w:rsidR="000338B2" w:rsidRDefault="00987598" w:rsidP="005056AC">
      <w:r>
        <w:t xml:space="preserve">Les compétences des salariés des organisations-membres peuvent créer un </w:t>
      </w:r>
      <w:r w:rsidR="009945AB">
        <w:t xml:space="preserve">contexte favorable à l’émergence d’un SIIO. Ce facteur s’est notamment exprimé dans le contexte de </w:t>
      </w:r>
      <w:proofErr w:type="spellStart"/>
      <w:r w:rsidR="009945AB">
        <w:t>Géofluence</w:t>
      </w:r>
      <w:proofErr w:type="spellEnd"/>
      <w:r w:rsidR="009945AB">
        <w:t> : le fait que certains OBV aient recruté des individus dotés d’une expertise en géomatique, a amené ces individus à équiper leurs organisations respectives de solutions TI métier. Ils ont rapidement pris conscience d’un intérêt à mutualiser les données entre organisations</w:t>
      </w:r>
      <w:r w:rsidR="003D2A73">
        <w:t>, et ont bénéficié de cadres de rencontre et d’échanges</w:t>
      </w:r>
      <w:r w:rsidR="003F7829">
        <w:t xml:space="preserve"> (cf. section 4.3.2.2)</w:t>
      </w:r>
      <w:r w:rsidR="003D2A73">
        <w:t xml:space="preserve"> leur permettant de construire une vision collective</w:t>
      </w:r>
      <w:r w:rsidR="00B158C4">
        <w:t xml:space="preserve"> pour un SIIO mutualisé</w:t>
      </w:r>
      <w:r w:rsidR="003D2A73">
        <w:t>.</w:t>
      </w:r>
    </w:p>
    <w:p w14:paraId="3782EBD4" w14:textId="67820239" w:rsidR="0004308F" w:rsidRPr="0004308F" w:rsidRDefault="00663845" w:rsidP="005056AC">
      <w:pPr>
        <w:pStyle w:val="Quote"/>
      </w:pPr>
      <w:r w:rsidRPr="00715C83">
        <w:rPr>
          <w:i w:val="0"/>
          <w:iCs w:val="0"/>
        </w:rPr>
        <w:t>« </w:t>
      </w:r>
      <w:r w:rsidR="0004308F">
        <w:t xml:space="preserve">Il </w:t>
      </w:r>
      <w:r w:rsidR="0004308F" w:rsidRPr="0004308F">
        <w:t xml:space="preserve">y a 10 ans la présence des géomaticiens dans les OBV </w:t>
      </w:r>
      <w:r w:rsidR="0004308F">
        <w:t>n’</w:t>
      </w:r>
      <w:r w:rsidR="0004308F" w:rsidRPr="0004308F">
        <w:t>était pas aussi grande que maintenant.</w:t>
      </w:r>
      <w:r>
        <w:t xml:space="preserve"> […]</w:t>
      </w:r>
      <w:r w:rsidRPr="00663845">
        <w:t xml:space="preserve"> essayer de vendre un</w:t>
      </w:r>
      <w:r>
        <w:t>e</w:t>
      </w:r>
      <w:r w:rsidRPr="00663845">
        <w:t xml:space="preserve"> idée comme ça si les gens ne savent pas de quoi on parle, on frappe un mur</w:t>
      </w:r>
      <w:r>
        <w:t>. </w:t>
      </w:r>
      <w:r w:rsidRPr="00715C83">
        <w:rPr>
          <w:i w:val="0"/>
          <w:iCs w:val="0"/>
        </w:rPr>
        <w:t>»</w:t>
      </w:r>
      <w:r w:rsidR="003F0B76">
        <w:t xml:space="preserve"> </w:t>
      </w:r>
      <w:r w:rsidR="003F0B76" w:rsidRPr="00BD597A">
        <w:rPr>
          <w:i w:val="0"/>
          <w:iCs w:val="0"/>
        </w:rPr>
        <w:t>2NG37R</w:t>
      </w:r>
    </w:p>
    <w:p w14:paraId="0C1DA03B" w14:textId="480342EE" w:rsidR="009945AB" w:rsidRPr="009945AB" w:rsidRDefault="00561C6B" w:rsidP="005056AC">
      <w:r>
        <w:t>Notons qu’un SIIO peut émerger même si l’ensemble des organisations</w:t>
      </w:r>
      <w:r w:rsidR="00B158C4">
        <w:t xml:space="preserve"> de l’écosystème</w:t>
      </w:r>
      <w:r>
        <w:t xml:space="preserve"> </w:t>
      </w:r>
      <w:r w:rsidR="00B158C4">
        <w:t>ne dispose</w:t>
      </w:r>
      <w:r>
        <w:t xml:space="preserve"> pas </w:t>
      </w:r>
      <w:r w:rsidR="00B158C4">
        <w:t>d</w:t>
      </w:r>
      <w:r>
        <w:t>es compétences nécessaires</w:t>
      </w:r>
      <w:r w:rsidR="00B158C4">
        <w:t xml:space="preserve"> pour </w:t>
      </w:r>
      <w:r w:rsidR="005A51EE">
        <w:t>l’utiliser et l’adopter.</w:t>
      </w:r>
      <w:r w:rsidR="000C7D57">
        <w:t xml:space="preserve"> </w:t>
      </w:r>
      <w:r w:rsidR="00E4087C">
        <w:t xml:space="preserve">Dans les deux contextes étudiés, les SIIO ne sont pas uniformément adoptés par les organisations membres des écosystèmes. </w:t>
      </w:r>
      <w:r w:rsidR="003C6043">
        <w:t>Ils sont d’abord utilisés par des organisations-leaders disposant du matériel et des compétences nécessaires</w:t>
      </w:r>
      <w:r w:rsidR="0078574C">
        <w:t>, qui contribuent à en améliorer l’interface et à l’alimenter de leurs propres données.</w:t>
      </w:r>
      <w:r w:rsidR="000C7D57">
        <w:t xml:space="preserve"> </w:t>
      </w:r>
    </w:p>
    <w:p w14:paraId="7E712057" w14:textId="6F8CF850" w:rsidR="005F7A23" w:rsidRDefault="000D6ABD" w:rsidP="00B374E6">
      <w:pPr>
        <w:pStyle w:val="Heading4"/>
      </w:pPr>
      <w:r>
        <w:t xml:space="preserve">Culture de collaboration au sein </w:t>
      </w:r>
      <w:r w:rsidR="007A4024">
        <w:t>de l’écosystème</w:t>
      </w:r>
    </w:p>
    <w:p w14:paraId="4431054C" w14:textId="4F55B85D" w:rsidR="007A4024" w:rsidRDefault="00E95025" w:rsidP="005056AC">
      <w:r>
        <w:t xml:space="preserve">Outre les facteurs spécifiques à chaque organisation (section 4.3.1.1 ci-dessus), certains facteurs </w:t>
      </w:r>
      <w:r w:rsidR="00116C0C">
        <w:t>découlent des relations entre organisations de l’écosystème (niveau inter-organisationnel)</w:t>
      </w:r>
      <w:r w:rsidR="003A683C">
        <w:t>, et plus généralement de la structure de collaboration de cet écosystème (niveau sectoriel).</w:t>
      </w:r>
    </w:p>
    <w:p w14:paraId="43AC77AF" w14:textId="001BC3BE" w:rsidR="00926F87" w:rsidRDefault="007833E1" w:rsidP="005056AC">
      <w:r>
        <w:t>L</w:t>
      </w:r>
      <w:r w:rsidR="0094778A">
        <w:t xml:space="preserve">es projets de SIIO </w:t>
      </w:r>
      <w:proofErr w:type="spellStart"/>
      <w:r w:rsidR="0094778A">
        <w:t>Géofluence</w:t>
      </w:r>
      <w:proofErr w:type="spellEnd"/>
      <w:r w:rsidR="0094778A">
        <w:t xml:space="preserve"> et RESAM ont émergé </w:t>
      </w:r>
      <w:r w:rsidR="000A26B4">
        <w:t>à partir d’u</w:t>
      </w:r>
      <w:r w:rsidR="006D0656">
        <w:t xml:space="preserve">ne </w:t>
      </w:r>
      <w:r w:rsidR="00F201B6">
        <w:t>quête</w:t>
      </w:r>
      <w:r w:rsidR="006D0656">
        <w:t xml:space="preserve"> d’efficacité</w:t>
      </w:r>
      <w:r w:rsidR="00B11DE6">
        <w:t>.</w:t>
      </w:r>
      <w:r w:rsidR="000A26B4">
        <w:t xml:space="preserve"> </w:t>
      </w:r>
      <w:r w:rsidR="00DE521E">
        <w:t xml:space="preserve">Les </w:t>
      </w:r>
      <w:r w:rsidR="007A4024">
        <w:t>membres des organisations</w:t>
      </w:r>
      <w:r w:rsidR="00AD32EE">
        <w:t xml:space="preserve"> </w:t>
      </w:r>
      <w:r w:rsidR="006D40A3">
        <w:t>sont conscients qu’ils produisent collectivement des données, lesquelles sont valorisables pour eux-mêmes ou pour leurs partenaires extérieurs</w:t>
      </w:r>
      <w:r w:rsidR="00B11DE6">
        <w:t> : tant les OBV que les groupements forestiers</w:t>
      </w:r>
      <w:r w:rsidR="003871D1">
        <w:t xml:space="preserve"> </w:t>
      </w:r>
      <w:r w:rsidR="00B11DE6">
        <w:t xml:space="preserve">ont besoin de mutualiser certaines de leurs informations pour permettre une gestion intégrée de leur secteur </w:t>
      </w:r>
      <w:r w:rsidR="003871D1">
        <w:t>à l’échelle du Québec.</w:t>
      </w:r>
      <w:r w:rsidR="00B11DE6">
        <w:t xml:space="preserve"> N</w:t>
      </w:r>
      <w:r w:rsidR="006D40A3">
        <w:t>éanmoins, l’échange de données relève d’un processus long et donc coûteux</w:t>
      </w:r>
      <w:r w:rsidR="00B11DE6">
        <w:t xml:space="preserve"> (cf. section 4.1.1 ci-dessus).</w:t>
      </w:r>
    </w:p>
    <w:p w14:paraId="20B33EF5" w14:textId="1F4F20D5" w:rsidR="000A26B4" w:rsidRDefault="007833E1" w:rsidP="005056AC">
      <w:r>
        <w:t>L</w:t>
      </w:r>
      <w:r w:rsidR="000A26B4">
        <w:t xml:space="preserve">es </w:t>
      </w:r>
      <w:r w:rsidR="007A4024">
        <w:t>organisations membres des écosystèmes</w:t>
      </w:r>
      <w:r w:rsidR="000A26B4">
        <w:t xml:space="preserve"> </w:t>
      </w:r>
      <w:r w:rsidR="006B3028">
        <w:t>ét</w:t>
      </w:r>
      <w:r w:rsidR="0046539D">
        <w:t xml:space="preserve">udiés </w:t>
      </w:r>
      <w:r w:rsidR="000A26B4">
        <w:t>témoignent d’une confiance mutuelle, qui prend notamment ancrage dans u</w:t>
      </w:r>
      <w:r w:rsidR="006B3028">
        <w:t>ne structure désactivant la compétition</w:t>
      </w:r>
      <w:r w:rsidR="003871D1">
        <w:t xml:space="preserve"> entre organisations membres de ces champs</w:t>
      </w:r>
      <w:r w:rsidR="006B3028">
        <w:t xml:space="preserve">. Dans le </w:t>
      </w:r>
      <w:r w:rsidR="003871D1">
        <w:t xml:space="preserve">cas des OBV comme des groupements forestiers, chaque organisation opère sur un territoire clairement délimité : </w:t>
      </w:r>
      <w:r w:rsidR="002539E7">
        <w:t>elles ne sont pas soumises à une concurrence au niveau d</w:t>
      </w:r>
      <w:r w:rsidR="00267754">
        <w:t xml:space="preserve">e leurs </w:t>
      </w:r>
      <w:r w:rsidR="00C753D7">
        <w:t>membres ou de leurs partenaires et clients extérieurs</w:t>
      </w:r>
      <w:r w:rsidR="003871D1">
        <w:t>.</w:t>
      </w:r>
    </w:p>
    <w:p w14:paraId="52AEB1F0" w14:textId="44CE3E94" w:rsidR="00D11EB1" w:rsidRDefault="007740A1" w:rsidP="00DA3430">
      <w:pPr>
        <w:pStyle w:val="Quote"/>
      </w:pPr>
      <w:r w:rsidRPr="00BD597A">
        <w:rPr>
          <w:i w:val="0"/>
          <w:iCs w:val="0"/>
        </w:rPr>
        <w:t>« </w:t>
      </w:r>
      <w:r w:rsidR="00AB1F94" w:rsidRPr="00BD597A">
        <w:rPr>
          <w:i w:val="0"/>
          <w:iCs w:val="0"/>
        </w:rPr>
        <w:t>[Chercheur]</w:t>
      </w:r>
      <w:r>
        <w:t xml:space="preserve"> </w:t>
      </w:r>
      <w:r w:rsidR="000A61F9">
        <w:t>Je comprends qu'il y a vraiment une culture de confiance</w:t>
      </w:r>
      <w:r w:rsidR="00D11EB1">
        <w:t xml:space="preserve">? </w:t>
      </w:r>
      <w:r w:rsidR="00D11EB1" w:rsidRPr="00BD597A">
        <w:rPr>
          <w:i w:val="0"/>
          <w:iCs w:val="0"/>
        </w:rPr>
        <w:t>[…]</w:t>
      </w:r>
    </w:p>
    <w:p w14:paraId="2175DC7D" w14:textId="19BAFE81" w:rsidR="000A61F9" w:rsidRDefault="00D11EB1" w:rsidP="00B76A93">
      <w:pPr>
        <w:pStyle w:val="Quote"/>
      </w:pPr>
      <w:r w:rsidRPr="00BD597A">
        <w:rPr>
          <w:i w:val="0"/>
          <w:iCs w:val="0"/>
        </w:rPr>
        <w:t>[IYAFXR]</w:t>
      </w:r>
      <w:r>
        <w:t xml:space="preserve"> </w:t>
      </w:r>
      <w:r w:rsidR="00DA3430">
        <w:t>T</w:t>
      </w:r>
      <w:r w:rsidR="000A61F9">
        <w:t>otalement. Tu sais, on fait beaucoup de rencontres</w:t>
      </w:r>
      <w:r w:rsidR="00B96B97">
        <w:t>.</w:t>
      </w:r>
      <w:r w:rsidR="000A61F9">
        <w:t xml:space="preserve"> </w:t>
      </w:r>
      <w:r w:rsidR="00B96B97" w:rsidRPr="00B96B97">
        <w:rPr>
          <w:i w:val="0"/>
          <w:iCs w:val="0"/>
        </w:rPr>
        <w:t xml:space="preserve">[…] </w:t>
      </w:r>
      <w:r w:rsidR="00B96B97">
        <w:t>J</w:t>
      </w:r>
      <w:r w:rsidR="000A61F9">
        <w:t>e pourrais dire que j'ai 100% confiance.</w:t>
      </w:r>
      <w:r w:rsidR="000A61F9" w:rsidRPr="00B96B97">
        <w:rPr>
          <w:i w:val="0"/>
          <w:iCs w:val="0"/>
        </w:rPr>
        <w:t xml:space="preserve"> </w:t>
      </w:r>
      <w:r w:rsidR="007740A1" w:rsidRPr="00B96B97">
        <w:rPr>
          <w:i w:val="0"/>
          <w:iCs w:val="0"/>
        </w:rPr>
        <w:t>[…]</w:t>
      </w:r>
      <w:r w:rsidR="000A61F9">
        <w:t xml:space="preserve"> </w:t>
      </w:r>
      <w:r w:rsidR="00DA3430">
        <w:t>Ç</w:t>
      </w:r>
      <w:r w:rsidR="000A61F9">
        <w:t>a va m'arriver d'aller sur le territoire d'un autre groupement forestier. Mais</w:t>
      </w:r>
      <w:r w:rsidR="00DA3430">
        <w:t xml:space="preserve"> il</w:t>
      </w:r>
      <w:r w:rsidR="000A61F9">
        <w:t xml:space="preserve"> faut que je demande la permission. </w:t>
      </w:r>
      <w:r w:rsidR="00DA3430">
        <w:t>J</w:t>
      </w:r>
      <w:r w:rsidR="000A61F9">
        <w:t>e vais contacter le directeur général</w:t>
      </w:r>
      <w:r w:rsidR="00B76A93">
        <w:t xml:space="preserve"> </w:t>
      </w:r>
      <w:r w:rsidR="00DA3430" w:rsidRPr="00B76A93">
        <w:rPr>
          <w:i w:val="0"/>
          <w:iCs w:val="0"/>
        </w:rPr>
        <w:t>[…]</w:t>
      </w:r>
      <w:r w:rsidR="00DA3430">
        <w:t xml:space="preserve"> </w:t>
      </w:r>
      <w:r w:rsidR="000A61F9">
        <w:t>puis on d'un accord commun, on se donne la permission de le faire.</w:t>
      </w:r>
      <w:r w:rsidR="007740A1">
        <w:t> </w:t>
      </w:r>
      <w:r w:rsidR="007740A1" w:rsidRPr="00A81FAC">
        <w:rPr>
          <w:i w:val="0"/>
          <w:iCs w:val="0"/>
        </w:rPr>
        <w:t>»</w:t>
      </w:r>
      <w:r w:rsidR="00A81FAC">
        <w:rPr>
          <w:i w:val="0"/>
          <w:iCs w:val="0"/>
        </w:rPr>
        <w:t xml:space="preserve"> </w:t>
      </w:r>
      <w:r w:rsidR="00A81FAC" w:rsidRPr="00A81FAC">
        <w:rPr>
          <w:i w:val="0"/>
          <w:iCs w:val="0"/>
        </w:rPr>
        <w:t>IYAFXR</w:t>
      </w:r>
    </w:p>
    <w:p w14:paraId="1A460390" w14:textId="5D926C74" w:rsidR="001217E3" w:rsidRDefault="00E43B8A" w:rsidP="005056AC">
      <w:r>
        <w:t>La s</w:t>
      </w:r>
      <w:r w:rsidR="007B3D7A">
        <w:t>tructure des champs étudiés implique également</w:t>
      </w:r>
      <w:r w:rsidR="000128EB">
        <w:t xml:space="preserve"> des rapports de force équilibrés : aucune organisation n’a, théoriquement, le pouvoir de contraindre une autre organisation d’adopter le SIIO proposé.</w:t>
      </w:r>
    </w:p>
    <w:p w14:paraId="4158621E" w14:textId="3140698D" w:rsidR="005F7A23" w:rsidRDefault="00F17907" w:rsidP="00B374E6">
      <w:pPr>
        <w:pStyle w:val="Heading4"/>
      </w:pPr>
      <w:r>
        <w:t>Implication des</w:t>
      </w:r>
      <w:r w:rsidR="00EA197F" w:rsidRPr="008E2C93">
        <w:t xml:space="preserve"> ministères</w:t>
      </w:r>
    </w:p>
    <w:p w14:paraId="46A6C80C" w14:textId="6D76B1E7" w:rsidR="000D6ABD" w:rsidRDefault="00C92472" w:rsidP="005056AC">
      <w:r>
        <w:t xml:space="preserve">L’action ministérielle était </w:t>
      </w:r>
      <w:r w:rsidR="00F17907">
        <w:t>relevée</w:t>
      </w:r>
      <w:r>
        <w:t xml:space="preserve"> comme un facteur important dans nos deux cas étudiés.</w:t>
      </w:r>
      <w:r w:rsidR="004B6121">
        <w:t xml:space="preserve"> Cette action peut prendre plusieurs formes.</w:t>
      </w:r>
    </w:p>
    <w:p w14:paraId="76D1E95B" w14:textId="7F99EC22" w:rsidR="00776D67" w:rsidRDefault="00E16F3E" w:rsidP="005056AC">
      <w:r>
        <w:t xml:space="preserve">Une action ministérielle consiste à </w:t>
      </w:r>
      <w:r w:rsidR="003645E8">
        <w:t>obliger les organisations d’un champ à remonter une partie des données collectées sur le terrain.</w:t>
      </w:r>
      <w:r w:rsidR="00085146">
        <w:t xml:space="preserve"> </w:t>
      </w:r>
      <w:r w:rsidR="00776D67">
        <w:t>Ce type de contrainte crée un besoin et une quête d’efficacité parmi les organisations membres du champ organisationnel en question.</w:t>
      </w:r>
      <w:r w:rsidR="0067461F">
        <w:t xml:space="preserve"> Lorsqu’une solution est spécifiquement destinée à faciliter la centralisation de données, celle-ci bénéficie d’un fort effet d’institutionnalisation, les acteurs étant naturellement incités à l’adopter pour remplir le mandat qui leur est confié.</w:t>
      </w:r>
      <w:r w:rsidR="00024A3F">
        <w:t xml:space="preserve"> À cet égard, l’action ministérielle peut également consister à encourager, voire à </w:t>
      </w:r>
      <w:r w:rsidR="00466619">
        <w:t>contraindre, à l’utilisation d’une solution donnée – forçant ainsi l’adoption de l’outil par les acteurs.</w:t>
      </w:r>
    </w:p>
    <w:p w14:paraId="4F04DB4C" w14:textId="7D86AA29" w:rsidR="00CC6F09" w:rsidRDefault="007B656D" w:rsidP="005056AC">
      <w:pPr>
        <w:pStyle w:val="Quote"/>
      </w:pPr>
      <w:r w:rsidRPr="00354F3C">
        <w:rPr>
          <w:i w:val="0"/>
          <w:iCs w:val="0"/>
        </w:rPr>
        <w:t>«</w:t>
      </w:r>
      <w:r>
        <w:t> </w:t>
      </w:r>
      <w:r w:rsidR="00354F3C">
        <w:t>L</w:t>
      </w:r>
      <w:r w:rsidRPr="007B656D">
        <w:t>e ministère a obligé les OBV à utiliser le système pour faire leur reddition de compte.</w:t>
      </w:r>
      <w:r>
        <w:t xml:space="preserve"> </w:t>
      </w:r>
      <w:r w:rsidRPr="007B656D">
        <w:t>C'est moins agréable comme mécanisme mais ça peut fonctionner.</w:t>
      </w:r>
      <w:r>
        <w:t> </w:t>
      </w:r>
      <w:r w:rsidRPr="00354F3C">
        <w:rPr>
          <w:i w:val="0"/>
          <w:iCs w:val="0"/>
        </w:rPr>
        <w:t>»</w:t>
      </w:r>
      <w:r w:rsidR="0017757C" w:rsidRPr="00354F3C">
        <w:rPr>
          <w:i w:val="0"/>
          <w:iCs w:val="0"/>
        </w:rPr>
        <w:t xml:space="preserve"> 1U9HX3</w:t>
      </w:r>
      <w:r w:rsidR="0017757C" w:rsidRPr="0017757C">
        <w:t xml:space="preserve"> </w:t>
      </w:r>
    </w:p>
    <w:p w14:paraId="708443F5" w14:textId="4CEFCCEB" w:rsidR="00A60740" w:rsidRDefault="00256BF0" w:rsidP="005056AC">
      <w:r>
        <w:t xml:space="preserve">Une action corollaire consiste pour le ministère à </w:t>
      </w:r>
      <w:r w:rsidR="00C90AC2">
        <w:t xml:space="preserve">reconnaître ou </w:t>
      </w:r>
      <w:r w:rsidR="00535EBD">
        <w:t xml:space="preserve">établir </w:t>
      </w:r>
      <w:r w:rsidR="00C90AC2">
        <w:t>des</w:t>
      </w:r>
      <w:r w:rsidR="00535EBD">
        <w:t xml:space="preserve"> standards pour l</w:t>
      </w:r>
      <w:r w:rsidR="00C90AC2">
        <w:t>es données utilisées au sein du champ organisationnel</w:t>
      </w:r>
      <w:r w:rsidR="00982D57">
        <w:t>. L</w:t>
      </w:r>
      <w:r w:rsidR="0093487A">
        <w:t xml:space="preserve">’existence </w:t>
      </w:r>
      <w:r w:rsidR="00982D57">
        <w:t xml:space="preserve">d’un standard institutionnalisé </w:t>
      </w:r>
      <w:r w:rsidR="00752AF4">
        <w:t>offre aux concepteurs du SIIO une base ferme et pérenne, sur laquelle ils peuvent se baser pour construire l’outil. Les organisations destinataires du SIIO, quant à elles,</w:t>
      </w:r>
      <w:r w:rsidR="007C2108">
        <w:t xml:space="preserve"> présentent moins de réticences à adopter un outil si celui-ci </w:t>
      </w:r>
      <w:r w:rsidR="00067AB7">
        <w:t>implémente des standards qui sont perçus comme étant pérennes (imposés par une action gouvernementale), qui apportent une plus-value à leur action interne (facilitation des processus de reddition de compte)</w:t>
      </w:r>
      <w:r w:rsidR="001D63B5">
        <w:t xml:space="preserve">, et </w:t>
      </w:r>
      <w:r w:rsidR="00C90AC2">
        <w:t xml:space="preserve">cet </w:t>
      </w:r>
      <w:r w:rsidR="001D63B5">
        <w:t xml:space="preserve">outil facilite </w:t>
      </w:r>
      <w:r w:rsidR="00C90AC2">
        <w:t>l’adoption de</w:t>
      </w:r>
      <w:r w:rsidR="00747227">
        <w:t>s</w:t>
      </w:r>
      <w:r w:rsidR="00C90AC2">
        <w:t xml:space="preserve"> standards (interface utilisateur permettant d’entrer les données de manière standardisée).</w:t>
      </w:r>
    </w:p>
    <w:p w14:paraId="3E0F8A20" w14:textId="4140A44D" w:rsidR="00D95970" w:rsidRDefault="00920EAA" w:rsidP="00704169">
      <w:pPr>
        <w:pStyle w:val="Quote"/>
      </w:pPr>
      <w:r w:rsidRPr="00A83FA8">
        <w:rPr>
          <w:i w:val="0"/>
          <w:iCs w:val="0"/>
        </w:rPr>
        <w:t>« </w:t>
      </w:r>
      <w:r>
        <w:t>Ça a découlé des programmes d'aménagement : il fallait être capable de structurer le financement qu'on demandait. Les agences reçoivent le financement, puis les agences détiennent un logiciel qui s'appelle SIGA</w:t>
      </w:r>
      <w:r w:rsidR="00EB1BCC">
        <w:t xml:space="preserve"> – c’est</w:t>
      </w:r>
      <w:r>
        <w:t xml:space="preserve"> un logiciel web.  À l'intérieur du SIGA, les conseillers forestiers qui veulent bénéficier de subventions </w:t>
      </w:r>
      <w:r w:rsidR="0039154D">
        <w:t>envoient</w:t>
      </w:r>
      <w:r w:rsidR="00A81C66">
        <w:t xml:space="preserve"> </w:t>
      </w:r>
      <w:r w:rsidR="00A81C66">
        <w:rPr>
          <w:i w:val="0"/>
          <w:iCs w:val="0"/>
        </w:rPr>
        <w:t>[…]</w:t>
      </w:r>
      <w:r>
        <w:t xml:space="preserve"> </w:t>
      </w:r>
      <w:r w:rsidR="00A81C66">
        <w:t>d</w:t>
      </w:r>
      <w:r>
        <w:t>u data sur l'inventaire forestier […]. Tout ça a engendré le fait qu'on devait avoir une base de données de nos propriétaires. […] Les logiciels ont commencé comme ça. En fin de compte, c'était dans le but de structurer la donnée, vraiment toute l'information sur les producteurs.</w:t>
      </w:r>
      <w:r w:rsidRPr="0033440D">
        <w:rPr>
          <w:i w:val="0"/>
          <w:iCs w:val="0"/>
        </w:rPr>
        <w:t xml:space="preserve"> » </w:t>
      </w:r>
      <w:r w:rsidR="00423C68" w:rsidRPr="0033440D">
        <w:rPr>
          <w:i w:val="0"/>
          <w:iCs w:val="0"/>
        </w:rPr>
        <w:t>VNPGGT</w:t>
      </w:r>
    </w:p>
    <w:p w14:paraId="6CCEE745" w14:textId="3961229F" w:rsidR="005F7A23" w:rsidRDefault="00BC4080" w:rsidP="005B7F57">
      <w:pPr>
        <w:pStyle w:val="Heading3"/>
      </w:pPr>
      <w:r>
        <w:t>Facteurs dispositionnels</w:t>
      </w:r>
    </w:p>
    <w:p w14:paraId="5E7A10E4" w14:textId="5F75186A" w:rsidR="00FF7747" w:rsidRPr="00FF7747" w:rsidRDefault="00DC6D57" w:rsidP="005056AC">
      <w:r>
        <w:t xml:space="preserve">Les facteurs mentionnés ci-dessus </w:t>
      </w:r>
      <w:r w:rsidR="00C83252">
        <w:t xml:space="preserve">permettent la combinaison entre </w:t>
      </w:r>
      <w:r>
        <w:t>un contexte institutionnel et une structure de collaboration institutionnelle</w:t>
      </w:r>
      <w:r w:rsidR="00C83252">
        <w:t xml:space="preserve"> favorables à l’émergence d’un SIIO.</w:t>
      </w:r>
      <w:r w:rsidR="00E84F1E">
        <w:t xml:space="preserve"> </w:t>
      </w:r>
      <w:r w:rsidR="00C83252">
        <w:t xml:space="preserve">Toutefois, </w:t>
      </w:r>
      <w:r w:rsidR="00C50C15">
        <w:t xml:space="preserve">dans nos deux cas d’étude, </w:t>
      </w:r>
      <w:r w:rsidR="00E84F1E">
        <w:t>un changement a été nécessaire au niveau de la disposition de la méta-organisation</w:t>
      </w:r>
      <w:r w:rsidR="0081754B">
        <w:t>. Ce changement a pris la forme d’une disponibilité de nouvelles expertises,</w:t>
      </w:r>
      <w:r w:rsidR="006D2696">
        <w:t xml:space="preserve"> inscrit au sein d’un cadre de gouvernance adapté au changement.</w:t>
      </w:r>
      <w:r w:rsidR="0081754B">
        <w:t xml:space="preserve"> </w:t>
      </w:r>
    </w:p>
    <w:p w14:paraId="381CC1BC" w14:textId="162DCB02" w:rsidR="00AA0F60" w:rsidRPr="00E8704F" w:rsidRDefault="00651DEB" w:rsidP="00B374E6">
      <w:pPr>
        <w:pStyle w:val="Heading4"/>
      </w:pPr>
      <w:r>
        <w:t>Compétences et vision de long terme</w:t>
      </w:r>
    </w:p>
    <w:p w14:paraId="0B13B0DF" w14:textId="52DD084D" w:rsidR="002136EC" w:rsidRDefault="00367A25" w:rsidP="005056AC">
      <w:r w:rsidRPr="00E8704F">
        <w:t>Dans le cas de GFQ comme dans celui du ROBVQ,</w:t>
      </w:r>
      <w:r w:rsidR="002136EC" w:rsidRPr="00E8704F">
        <w:t xml:space="preserve"> l’émergence d’une stratégie de SIIO a été déclenchée </w:t>
      </w:r>
      <w:r w:rsidR="00E8704F" w:rsidRPr="00E8704F">
        <w:t>par un changement de direction, qui présentait une sensibilité particulière pour les enjeux d’innovation numérique</w:t>
      </w:r>
      <w:r w:rsidR="00714F34" w:rsidRPr="00E8704F">
        <w:t>.</w:t>
      </w:r>
    </w:p>
    <w:p w14:paraId="6A88F396" w14:textId="39C9EF39" w:rsidR="00456780" w:rsidRDefault="00F87576" w:rsidP="005056AC">
      <w:r>
        <w:t xml:space="preserve">Il est important de souligner </w:t>
      </w:r>
      <w:r w:rsidR="00393FA1">
        <w:t>que l’ensemble de l’expertise et de la vision n’ont pas nécessairement à être concentrée au sein d’un salarié de la méta-organisation. Dans le cas du ROBVQ, le projet de</w:t>
      </w:r>
      <w:r w:rsidR="0080562C">
        <w:t xml:space="preserve"> SIIO, ainsi que les expertises nécessaires à son élaboration, étaient déjà </w:t>
      </w:r>
      <w:r w:rsidR="00AA476C">
        <w:t>présents</w:t>
      </w:r>
      <w:r w:rsidR="0080562C">
        <w:t xml:space="preserve"> au sein du réseau : les OBV leaders en ont fait la preuve en mettant en place, par eux-mêmes, la solution mutualisée ainsi que la gouvernance servant à assurer sa maintenance et son développement. L</w:t>
      </w:r>
      <w:r w:rsidR="00AA476C">
        <w:t xml:space="preserve">e changement s’est opéré lorsque la méta-organisation a recruté </w:t>
      </w:r>
      <w:r w:rsidR="00A96CB9">
        <w:t xml:space="preserve">un </w:t>
      </w:r>
      <w:r w:rsidR="00B46DDC">
        <w:t xml:space="preserve">directeur ouvert à la vision géomatique, et </w:t>
      </w:r>
      <w:r w:rsidR="00C055A3">
        <w:t>d’un salarié</w:t>
      </w:r>
      <w:r w:rsidR="001D4815">
        <w:t xml:space="preserve"> doté d’une sensibilité et d’une expérience en gestion de base de données. Celui-ci a </w:t>
      </w:r>
      <w:r w:rsidR="00C546FD">
        <w:t xml:space="preserve">ainsi </w:t>
      </w:r>
      <w:r w:rsidR="007A0720">
        <w:t>démontré une sensibilité au projet</w:t>
      </w:r>
      <w:r w:rsidR="001E67C3">
        <w:t xml:space="preserve"> </w:t>
      </w:r>
      <w:proofErr w:type="spellStart"/>
      <w:r w:rsidR="007A0720">
        <w:t>Géofluence</w:t>
      </w:r>
      <w:proofErr w:type="spellEnd"/>
      <w:r w:rsidR="007A0720">
        <w:t xml:space="preserve">, </w:t>
      </w:r>
      <w:r w:rsidR="00B40116">
        <w:t xml:space="preserve">et mettre en place une stratégie </w:t>
      </w:r>
      <w:r w:rsidR="00EA3166">
        <w:t>consistant à soutenir</w:t>
      </w:r>
      <w:r w:rsidR="001E67C3">
        <w:t xml:space="preserve"> </w:t>
      </w:r>
      <w:r w:rsidR="00EA3166">
        <w:t xml:space="preserve">et pérenniser </w:t>
      </w:r>
      <w:r w:rsidR="001E67C3">
        <w:t>le SIIO.</w:t>
      </w:r>
    </w:p>
    <w:p w14:paraId="64D00216" w14:textId="56E5171B" w:rsidR="006E7DF2" w:rsidRPr="006E7DF2" w:rsidRDefault="00B46DDC" w:rsidP="005056AC">
      <w:pPr>
        <w:pStyle w:val="Quote"/>
      </w:pPr>
      <w:r w:rsidRPr="00E43685">
        <w:rPr>
          <w:i w:val="0"/>
          <w:iCs w:val="0"/>
        </w:rPr>
        <w:t>« </w:t>
      </w:r>
      <w:r w:rsidR="00E43685">
        <w:t>L</w:t>
      </w:r>
      <w:r w:rsidRPr="00B46DDC">
        <w:t>a nouvelle directrice</w:t>
      </w:r>
      <w:r w:rsidR="00E43685">
        <w:t xml:space="preserve"> </w:t>
      </w:r>
      <w:r w:rsidR="00E43685">
        <w:rPr>
          <w:i w:val="0"/>
          <w:iCs w:val="0"/>
        </w:rPr>
        <w:t>[du ROBVQ]</w:t>
      </w:r>
      <w:r w:rsidRPr="00B46DDC">
        <w:t>, quand on lui a représenté le projet, elle était déjà très intéressée. Puis</w:t>
      </w:r>
      <w:r w:rsidR="006F145F">
        <w:rPr>
          <w:i w:val="0"/>
          <w:iCs w:val="0"/>
        </w:rPr>
        <w:t xml:space="preserve"> [l’équipe du ROBVQ]</w:t>
      </w:r>
      <w:r w:rsidRPr="00B46DDC">
        <w:t xml:space="preserve">, qui suivait le projet de très proche, qui a fini par s'impliquer davantage </w:t>
      </w:r>
      <w:r w:rsidR="004C5BEB" w:rsidRPr="004C5BEB">
        <w:rPr>
          <w:i w:val="0"/>
          <w:iCs w:val="0"/>
        </w:rPr>
        <w:t>[</w:t>
      </w:r>
      <w:r w:rsidR="004C5BEB" w:rsidRPr="004C5BEB">
        <w:rPr>
          <w:i w:val="0"/>
          <w:iCs w:val="0"/>
          <w:color w:val="000000"/>
        </w:rPr>
        <w:t>…]</w:t>
      </w:r>
      <w:r w:rsidRPr="00B46DDC">
        <w:t xml:space="preserve"> </w:t>
      </w:r>
      <w:r w:rsidR="00F15AB7">
        <w:t>À</w:t>
      </w:r>
      <w:r w:rsidRPr="00B46DDC">
        <w:t xml:space="preserve"> partir de ce </w:t>
      </w:r>
      <w:r w:rsidR="00F15AB7" w:rsidRPr="00B46DDC">
        <w:t>moment-là, on</w:t>
      </w:r>
      <w:r w:rsidRPr="00B46DDC">
        <w:t xml:space="preserve"> était rendu</w:t>
      </w:r>
      <w:r w:rsidR="006F145F">
        <w:t>s</w:t>
      </w:r>
      <w:r w:rsidRPr="00B46DDC">
        <w:t xml:space="preserve"> à ouvrir aux</w:t>
      </w:r>
      <w:r w:rsidR="00F15AB7">
        <w:t xml:space="preserve"> autres</w:t>
      </w:r>
      <w:r w:rsidRPr="00B46DDC">
        <w:t xml:space="preserve"> OBV.</w:t>
      </w:r>
      <w:r w:rsidR="00C055A3">
        <w:t> </w:t>
      </w:r>
      <w:r w:rsidR="00C055A3" w:rsidRPr="006F145F">
        <w:rPr>
          <w:i w:val="0"/>
          <w:iCs w:val="0"/>
        </w:rPr>
        <w:t>»</w:t>
      </w:r>
      <w:r w:rsidR="006E7DF2" w:rsidRPr="006F145F">
        <w:rPr>
          <w:i w:val="0"/>
          <w:iCs w:val="0"/>
        </w:rPr>
        <w:t xml:space="preserve"> L25JP7</w:t>
      </w:r>
    </w:p>
    <w:p w14:paraId="615FDA12" w14:textId="32FA789B" w:rsidR="001E67C3" w:rsidRDefault="00456780" w:rsidP="005056AC">
      <w:r>
        <w:t>L</w:t>
      </w:r>
      <w:r w:rsidR="001E67C3">
        <w:t>es compétences de catalyseur</w:t>
      </w:r>
      <w:r>
        <w:t xml:space="preserve"> sont néanmoins pertinentes dans la mesure où l’écosystème présente déjà des expertises et ressources pertinentes. En d’autres mots</w:t>
      </w:r>
      <w:r w:rsidR="00DB4F11">
        <w:t xml:space="preserve">, </w:t>
      </w:r>
      <w:r w:rsidR="00754E52">
        <w:t>dans le cas</w:t>
      </w:r>
      <w:r w:rsidR="00DB4F11">
        <w:t xml:space="preserve"> de </w:t>
      </w:r>
      <w:proofErr w:type="spellStart"/>
      <w:r w:rsidR="00DB4F11">
        <w:t>Géofluence</w:t>
      </w:r>
      <w:proofErr w:type="spellEnd"/>
      <w:r w:rsidR="00DB4F11">
        <w:t xml:space="preserve">, </w:t>
      </w:r>
      <w:r w:rsidR="00754E52">
        <w:t>le facteur de la disponibilité des ressources et expertises au niveau de la méta-organisation</w:t>
      </w:r>
      <w:r w:rsidR="00DB4F11">
        <w:t xml:space="preserve"> </w:t>
      </w:r>
      <w:r w:rsidR="00754E52">
        <w:t xml:space="preserve">est à mettre en perspective avec celui </w:t>
      </w:r>
      <w:r w:rsidR="00CC57BE">
        <w:t>des ressources et expertises au niveau des organisations-membres (</w:t>
      </w:r>
      <w:r w:rsidR="001C4BEA">
        <w:t xml:space="preserve">section </w:t>
      </w:r>
      <w:r w:rsidR="00CC57BE">
        <w:t>4.3.1.1).</w:t>
      </w:r>
    </w:p>
    <w:p w14:paraId="4DF19538" w14:textId="1C0F72CF" w:rsidR="00D26C4A" w:rsidRPr="00D26C4A" w:rsidRDefault="00D26C4A" w:rsidP="005056AC">
      <w:pPr>
        <w:pStyle w:val="Quote"/>
      </w:pPr>
      <w:r w:rsidRPr="006F145F">
        <w:rPr>
          <w:i w:val="0"/>
          <w:iCs w:val="0"/>
        </w:rPr>
        <w:t>« </w:t>
      </w:r>
      <w:proofErr w:type="spellStart"/>
      <w:r>
        <w:t>G</w:t>
      </w:r>
      <w:r w:rsidRPr="00D26C4A">
        <w:t>éoconfluence</w:t>
      </w:r>
      <w:proofErr w:type="spellEnd"/>
      <w:r w:rsidRPr="00D26C4A">
        <w:t xml:space="preserve">, c'est un bon exemple. </w:t>
      </w:r>
      <w:r w:rsidR="003950E6">
        <w:rPr>
          <w:i w:val="0"/>
          <w:iCs w:val="0"/>
        </w:rPr>
        <w:t>[Un OBV]</w:t>
      </w:r>
      <w:r w:rsidRPr="00D26C4A">
        <w:t xml:space="preserve"> a essentiellement monté la base de données</w:t>
      </w:r>
      <w:r w:rsidR="003950E6">
        <w:t>,</w:t>
      </w:r>
      <w:r w:rsidRPr="00D26C4A">
        <w:t xml:space="preserve"> et donc sert de de collaborateur dans le projet pour venir aider à mettre en place, tester tout, s'assurer que tout fonctionne. </w:t>
      </w:r>
      <w:r w:rsidR="003950E6">
        <w:t>L</w:t>
      </w:r>
      <w:r>
        <w:t xml:space="preserve">es </w:t>
      </w:r>
      <w:r w:rsidRPr="00D26C4A">
        <w:t>gens du ROBVQ sont là pour coordonner le projet.</w:t>
      </w:r>
      <w:r>
        <w:t> </w:t>
      </w:r>
      <w:r w:rsidRPr="003950E6">
        <w:rPr>
          <w:i w:val="0"/>
          <w:iCs w:val="0"/>
        </w:rPr>
        <w:t xml:space="preserve">» </w:t>
      </w:r>
      <w:r w:rsidR="00A17D3E" w:rsidRPr="003950E6">
        <w:rPr>
          <w:i w:val="0"/>
          <w:iCs w:val="0"/>
        </w:rPr>
        <w:t>1U9HX3</w:t>
      </w:r>
    </w:p>
    <w:p w14:paraId="4CE9A932" w14:textId="47D2C070" w:rsidR="00F900AF" w:rsidRDefault="00F900AF" w:rsidP="005056AC">
      <w:r>
        <w:t>Inversement, lorsque le ROBVQ ne disposait pas de ces compétences en interne, la méta</w:t>
      </w:r>
      <w:r w:rsidR="009A6607">
        <w:t xml:space="preserve">-organisation </w:t>
      </w:r>
      <w:r w:rsidR="00A66FF8">
        <w:t>était perçue par les OBV leaders comme non-perméable au projet de SIIO</w:t>
      </w:r>
      <w:r w:rsidR="006C2D5E">
        <w:t>. Cela a conduit ces derniers à initier le projet sans le soutien du ROBVQ. La présence de compétences</w:t>
      </w:r>
      <w:r w:rsidR="006A1084">
        <w:t xml:space="preserve"> et d’une vision semble donc être un facteur-clé préalable à l’implication d’une méta-organisation dans un projet de SIIO.</w:t>
      </w:r>
    </w:p>
    <w:p w14:paraId="7B2D5E54" w14:textId="45FF35F6" w:rsidR="00CE409F" w:rsidRDefault="00CE409F" w:rsidP="005056AC">
      <w:pPr>
        <w:pStyle w:val="Quote"/>
      </w:pPr>
      <w:r w:rsidRPr="008B3B04">
        <w:rPr>
          <w:i w:val="0"/>
          <w:iCs w:val="0"/>
        </w:rPr>
        <w:t>« </w:t>
      </w:r>
      <w:r>
        <w:t>S</w:t>
      </w:r>
      <w:r w:rsidRPr="00CE409F">
        <w:t>’il y avait eu quelqu'un à la Géomatique, mettons dès le départ au ROBVQ</w:t>
      </w:r>
      <w:r w:rsidR="008B3B04">
        <w:t xml:space="preserve"> </w:t>
      </w:r>
      <w:r w:rsidR="008B3B04">
        <w:rPr>
          <w:i w:val="0"/>
          <w:iCs w:val="0"/>
        </w:rPr>
        <w:t>[…]</w:t>
      </w:r>
      <w:r w:rsidRPr="00CE409F">
        <w:t xml:space="preserve"> peut</w:t>
      </w:r>
      <w:r w:rsidR="008B3B04">
        <w:t>-</w:t>
      </w:r>
      <w:r w:rsidRPr="00CE409F">
        <w:t>être qu</w:t>
      </w:r>
      <w:r w:rsidR="008B3B04">
        <w:t>’</w:t>
      </w:r>
      <w:r w:rsidRPr="00CE409F">
        <w:t>on serait déjà rendu</w:t>
      </w:r>
      <w:r w:rsidR="008B3B04">
        <w:t>s</w:t>
      </w:r>
      <w:r w:rsidRPr="00CE409F">
        <w:t xml:space="preserve"> un petit peu plus loin.</w:t>
      </w:r>
      <w:r>
        <w:t> </w:t>
      </w:r>
      <w:r w:rsidRPr="008B3B04">
        <w:rPr>
          <w:i w:val="0"/>
          <w:iCs w:val="0"/>
        </w:rPr>
        <w:t>»</w:t>
      </w:r>
      <w:r w:rsidR="00661FE8" w:rsidRPr="008B3B04">
        <w:rPr>
          <w:i w:val="0"/>
          <w:iCs w:val="0"/>
        </w:rPr>
        <w:t xml:space="preserve"> 2NG37R</w:t>
      </w:r>
    </w:p>
    <w:p w14:paraId="509A4D75" w14:textId="484F3EEB" w:rsidR="005F7A23" w:rsidRDefault="007D3ACD" w:rsidP="00B374E6">
      <w:pPr>
        <w:pStyle w:val="Heading4"/>
      </w:pPr>
      <w:r>
        <w:t>Structure de gouvernance ouverte au leadership</w:t>
      </w:r>
      <w:r w:rsidR="00CA0953">
        <w:t xml:space="preserve"> collectif</w:t>
      </w:r>
    </w:p>
    <w:p w14:paraId="167B1764" w14:textId="002DFB0E" w:rsidR="00367A25" w:rsidRDefault="004B54A1" w:rsidP="005056AC">
      <w:r>
        <w:t xml:space="preserve">L’émergence </w:t>
      </w:r>
      <w:r w:rsidR="00A20993">
        <w:t xml:space="preserve">du projet de SIIO </w:t>
      </w:r>
      <w:proofErr w:type="spellStart"/>
      <w:r w:rsidR="00A20993">
        <w:t>Géofluence</w:t>
      </w:r>
      <w:proofErr w:type="spellEnd"/>
      <w:r w:rsidR="00A20993">
        <w:t xml:space="preserve"> </w:t>
      </w:r>
      <w:r>
        <w:t xml:space="preserve">a </w:t>
      </w:r>
      <w:r w:rsidR="00655E03">
        <w:t>été conditionné par l’existence d’</w:t>
      </w:r>
      <w:r>
        <w:t xml:space="preserve">une structure de gouvernance </w:t>
      </w:r>
      <w:r w:rsidR="00A20993">
        <w:t>permettant la conduite collective du changement.</w:t>
      </w:r>
      <w:r w:rsidR="00655E03">
        <w:t xml:space="preserve"> Cette structure a évolué au fur et à mesure</w:t>
      </w:r>
      <w:r w:rsidR="00A46F4A">
        <w:t xml:space="preserve"> de l’évolution des besoins des membres, et des capacités de la méta-organisation.</w:t>
      </w:r>
    </w:p>
    <w:p w14:paraId="61022750" w14:textId="71DE6BD4" w:rsidR="00A66C14" w:rsidRDefault="00A66C14" w:rsidP="005056AC">
      <w:r>
        <w:t>À l’initiation du projet, la structure du ROBVQ n</w:t>
      </w:r>
      <w:r w:rsidR="00472DCA">
        <w:t xml:space="preserve">’était pas perçue par les membres comme </w:t>
      </w:r>
      <w:r w:rsidR="00303BE9">
        <w:t xml:space="preserve">offrant un cadre pertinent pour porter le projet </w:t>
      </w:r>
      <w:proofErr w:type="spellStart"/>
      <w:r w:rsidR="00303BE9">
        <w:t>Géofluence</w:t>
      </w:r>
      <w:proofErr w:type="spellEnd"/>
      <w:r w:rsidR="00303BE9">
        <w:t xml:space="preserve">. </w:t>
      </w:r>
      <w:r w:rsidR="00585A30">
        <w:t xml:space="preserve">En pratique, l’idée d’un SIIO n’était pas </w:t>
      </w:r>
      <w:r w:rsidR="002C7ED2">
        <w:t>alignée</w:t>
      </w:r>
      <w:r w:rsidR="00585A30">
        <w:t xml:space="preserve"> avec les priorités de la méta-organisation</w:t>
      </w:r>
      <w:r w:rsidR="002C7ED2">
        <w:t xml:space="preserve"> – </w:t>
      </w:r>
      <w:r w:rsidR="00585A30">
        <w:t>et</w:t>
      </w:r>
      <w:r w:rsidR="002C7ED2">
        <w:t xml:space="preserve"> </w:t>
      </w:r>
      <w:r w:rsidR="00585A30">
        <w:t xml:space="preserve">les </w:t>
      </w:r>
      <w:r w:rsidR="002C7ED2">
        <w:t>OBV</w:t>
      </w:r>
      <w:r w:rsidR="00585A30">
        <w:t xml:space="preserve"> </w:t>
      </w:r>
      <w:r w:rsidR="008B6051">
        <w:t xml:space="preserve">leaders ne se sentaient pas habilités à </w:t>
      </w:r>
      <w:r w:rsidR="002C7ED2">
        <w:t>intégrer ce projet numérique au sein de la stratégie du ROBVQ.</w:t>
      </w:r>
    </w:p>
    <w:p w14:paraId="7CDB857E" w14:textId="53F92786" w:rsidR="00EC5386" w:rsidRPr="00A612C8" w:rsidRDefault="00A612C8" w:rsidP="005056AC">
      <w:pPr>
        <w:pStyle w:val="Quote"/>
      </w:pPr>
      <w:r w:rsidRPr="008B3B04">
        <w:rPr>
          <w:i w:val="0"/>
          <w:iCs w:val="0"/>
        </w:rPr>
        <w:t>« </w:t>
      </w:r>
      <w:r w:rsidR="00BA6538" w:rsidRPr="00BA6538">
        <w:t xml:space="preserve">Au début, le ROBVQ </w:t>
      </w:r>
      <w:r w:rsidR="008E1405">
        <w:rPr>
          <w:i w:val="0"/>
          <w:iCs w:val="0"/>
        </w:rPr>
        <w:t>[…]</w:t>
      </w:r>
      <w:r w:rsidR="00BA6538" w:rsidRPr="00BA6538">
        <w:t xml:space="preserve"> </w:t>
      </w:r>
      <w:r w:rsidR="00726A53" w:rsidRPr="00BA6538">
        <w:t>ils n’ont pas</w:t>
      </w:r>
      <w:r w:rsidR="00BA6538" w:rsidRPr="00BA6538">
        <w:t xml:space="preserve"> été en mesure </w:t>
      </w:r>
      <w:r w:rsidR="00847792">
        <w:t>de prendre</w:t>
      </w:r>
      <w:r w:rsidR="00BA6538" w:rsidRPr="00BA6538">
        <w:t xml:space="preserve"> l'initiative.</w:t>
      </w:r>
      <w:r w:rsidR="00BA6538" w:rsidRPr="000B2D9B">
        <w:rPr>
          <w:i w:val="0"/>
          <w:iCs w:val="0"/>
        </w:rPr>
        <w:t xml:space="preserve"> […]</w:t>
      </w:r>
      <w:r w:rsidR="00BA6538">
        <w:t xml:space="preserve"> C</w:t>
      </w:r>
      <w:r w:rsidRPr="00A612C8">
        <w:t xml:space="preserve">e n’était pas dans le mandat du ROBVQ. </w:t>
      </w:r>
      <w:r w:rsidR="00BA6538">
        <w:t>A</w:t>
      </w:r>
      <w:r w:rsidRPr="00A612C8">
        <w:t>u niveau du CA, la géomatique n'était pas reconnue comme une des priorités</w:t>
      </w:r>
      <w:r w:rsidR="008E1405">
        <w:t xml:space="preserve"> </w:t>
      </w:r>
      <w:r w:rsidRPr="00A612C8">
        <w:t>du ROBVQ</w:t>
      </w:r>
      <w:r w:rsidR="008E1405">
        <w:t>.</w:t>
      </w:r>
      <w:r w:rsidR="00BA6538" w:rsidRPr="008E1405">
        <w:rPr>
          <w:i w:val="0"/>
          <w:iCs w:val="0"/>
        </w:rPr>
        <w:t xml:space="preserve"> » </w:t>
      </w:r>
      <w:r w:rsidR="00726A53" w:rsidRPr="008E1405">
        <w:rPr>
          <w:i w:val="0"/>
          <w:iCs w:val="0"/>
        </w:rPr>
        <w:t>L25JP7</w:t>
      </w:r>
    </w:p>
    <w:p w14:paraId="00CE3848" w14:textId="5B47DB4D" w:rsidR="00175ABA" w:rsidRDefault="005F7C56" w:rsidP="005056AC">
      <w:r>
        <w:t>L’évolution des expertises au sein des OBV</w:t>
      </w:r>
      <w:r w:rsidR="00216EEC">
        <w:t xml:space="preserve"> (</w:t>
      </w:r>
      <w:r w:rsidR="004749DA">
        <w:t xml:space="preserve">cf. </w:t>
      </w:r>
      <w:r w:rsidR="00216EEC">
        <w:t>section 4.3.1.</w:t>
      </w:r>
      <w:r w:rsidR="00AD07EA">
        <w:t>3</w:t>
      </w:r>
      <w:r w:rsidR="00216EEC">
        <w:t xml:space="preserve"> ci-dessus)</w:t>
      </w:r>
      <w:r>
        <w:t xml:space="preserve"> a contribué à créer de nouveaux cadres de coordination au sein du ROBVQ. En pratique, </w:t>
      </w:r>
      <w:r w:rsidR="00D55A6E">
        <w:t xml:space="preserve">les OBV ayant intégré des membres dotés de compétences en géomatique, a émergé </w:t>
      </w:r>
      <w:r w:rsidR="0049494F">
        <w:t>un</w:t>
      </w:r>
      <w:r w:rsidR="00D55A6E">
        <w:t xml:space="preserve"> besoin</w:t>
      </w:r>
      <w:r w:rsidR="0049494F">
        <w:t xml:space="preserve"> de mutualiser certaines expériences et outils au niveau du réseau : cela a représenté pour le ROBVQ une </w:t>
      </w:r>
      <w:r w:rsidR="00D55A6E">
        <w:t>opportunité de créer une communauté de pratique spécialisée sur cette thématique.</w:t>
      </w:r>
      <w:r w:rsidR="00175ABA">
        <w:t xml:space="preserve"> Les OBV leaders ont ainsi pu y promouvoir leur projet de SIIO, et y mobiliser des membres d’autres OBV.</w:t>
      </w:r>
      <w:r w:rsidR="0049494F">
        <w:t xml:space="preserve"> Par extension, la méta-organisation a acquis une meilleure compréhension des dynamiques et des visions portés par ses membres.</w:t>
      </w:r>
    </w:p>
    <w:p w14:paraId="268C2E71" w14:textId="55FA2823" w:rsidR="00061389" w:rsidRPr="00061389" w:rsidRDefault="00AF6451" w:rsidP="005056AC">
      <w:pPr>
        <w:pStyle w:val="Quote"/>
        <w:rPr>
          <w:rFonts w:ascii="Calibri" w:hAnsi="Calibri" w:cs="Calibri"/>
        </w:rPr>
      </w:pPr>
      <w:r w:rsidRPr="008E1405">
        <w:rPr>
          <w:i w:val="0"/>
          <w:iCs w:val="0"/>
        </w:rPr>
        <w:t>« </w:t>
      </w:r>
      <w:r w:rsidR="00E95E97">
        <w:t>J</w:t>
      </w:r>
      <w:r w:rsidR="00E95E97" w:rsidRPr="00E95E97">
        <w:t>'ai entendu parler dans une conférence du ROBVQ qu</w:t>
      </w:r>
      <w:r w:rsidR="00E95E97">
        <w:t>’</w:t>
      </w:r>
      <w:r w:rsidR="00E95E97" w:rsidRPr="00E95E97">
        <w:t xml:space="preserve">il y avait une équipe qui se mettait en place pour développer un premier projet de de base de données centralisée. </w:t>
      </w:r>
      <w:r w:rsidR="008D727D" w:rsidRPr="008D727D">
        <w:rPr>
          <w:i w:val="0"/>
          <w:iCs w:val="0"/>
        </w:rPr>
        <w:t>[…]</w:t>
      </w:r>
      <w:r w:rsidR="00E95E97" w:rsidRPr="00E95E97">
        <w:t xml:space="preserve"> À l'époque, </w:t>
      </w:r>
      <w:r w:rsidR="00E95E97">
        <w:t>il s’agissait</w:t>
      </w:r>
      <w:r w:rsidR="008D727D">
        <w:t xml:space="preserve"> </w:t>
      </w:r>
      <w:r w:rsidR="00E95E97" w:rsidRPr="00E95E97">
        <w:t xml:space="preserve">de créer </w:t>
      </w:r>
      <w:r>
        <w:t>des</w:t>
      </w:r>
      <w:r w:rsidR="00E95E97" w:rsidRPr="00E95E97">
        <w:t xml:space="preserve"> formulaires de manière conjointe. Donc j'ai</w:t>
      </w:r>
      <w:r>
        <w:t xml:space="preserve"> </w:t>
      </w:r>
      <w:r w:rsidR="00061389">
        <w:t>re</w:t>
      </w:r>
      <w:r w:rsidR="00E95E97" w:rsidRPr="00E95E97">
        <w:t>joint l'équipe</w:t>
      </w:r>
      <w:r>
        <w:t>.</w:t>
      </w:r>
      <w:r w:rsidRPr="008E1405">
        <w:rPr>
          <w:i w:val="0"/>
          <w:iCs w:val="0"/>
        </w:rPr>
        <w:t xml:space="preserve"> » </w:t>
      </w:r>
      <w:r w:rsidR="00061389" w:rsidRPr="008E1405">
        <w:rPr>
          <w:rFonts w:ascii="Calibri" w:hAnsi="Calibri" w:cs="Calibri"/>
          <w:i w:val="0"/>
          <w:iCs w:val="0"/>
        </w:rPr>
        <w:t>7K7VC7</w:t>
      </w:r>
    </w:p>
    <w:p w14:paraId="01909FA5" w14:textId="0C8D7A8C" w:rsidR="0049494F" w:rsidRDefault="006F02C2" w:rsidP="005056AC">
      <w:r>
        <w:t xml:space="preserve">Les OBV </w:t>
      </w:r>
      <w:r w:rsidR="00113C01">
        <w:t>leaders ont par la suite établi une structure de gouvernance extérieure au ROBVQ</w:t>
      </w:r>
      <w:r w:rsidR="0048786C">
        <w:t xml:space="preserve"> </w:t>
      </w:r>
      <w:r w:rsidR="00363D16">
        <w:t>(</w:t>
      </w:r>
      <w:r w:rsidR="0048786C">
        <w:t xml:space="preserve">cf. section </w:t>
      </w:r>
      <w:r w:rsidR="00363D16">
        <w:t>4.2.1.1)</w:t>
      </w:r>
      <w:r w:rsidR="00265E85">
        <w:t>, le</w:t>
      </w:r>
      <w:r w:rsidR="001C4BEA">
        <w:t xml:space="preserve"> comité exécutif </w:t>
      </w:r>
      <w:proofErr w:type="spellStart"/>
      <w:r w:rsidR="001C4BEA">
        <w:t>Géofluence</w:t>
      </w:r>
      <w:proofErr w:type="spellEnd"/>
      <w:r w:rsidR="001C4BEA">
        <w:t>.</w:t>
      </w:r>
      <w:r w:rsidR="0048786C">
        <w:t xml:space="preserve"> Cette structure </w:t>
      </w:r>
      <w:r w:rsidR="00265E85">
        <w:t>donne</w:t>
      </w:r>
      <w:r w:rsidR="0048786C">
        <w:t xml:space="preserve"> la capacité de prendre des décisions quant aux priorités de développement de l’outil</w:t>
      </w:r>
      <w:r w:rsidR="00846FF0">
        <w:t xml:space="preserve"> </w:t>
      </w:r>
      <w:proofErr w:type="spellStart"/>
      <w:r w:rsidR="00846FF0">
        <w:t>Géofluence</w:t>
      </w:r>
      <w:proofErr w:type="spellEnd"/>
      <w:r w:rsidR="00727C39">
        <w:t xml:space="preserve"> </w:t>
      </w:r>
      <w:r w:rsidR="00F92778">
        <w:t xml:space="preserve">: </w:t>
      </w:r>
      <w:r w:rsidR="00D93FE0">
        <w:t>en d’autres termes</w:t>
      </w:r>
      <w:r w:rsidR="00F92778">
        <w:t>, il s’agit d’un cadre destiné</w:t>
      </w:r>
      <w:r w:rsidR="00727C39">
        <w:t xml:space="preserve"> à favoriser le changement et l’innovation</w:t>
      </w:r>
      <w:r w:rsidR="00F92778">
        <w:t xml:space="preserve"> numérique</w:t>
      </w:r>
      <w:r w:rsidR="00727C39">
        <w:t xml:space="preserve"> </w:t>
      </w:r>
      <w:r w:rsidR="00846FF0">
        <w:t>au sein du SIIO</w:t>
      </w:r>
      <w:r w:rsidR="00727C39">
        <w:t>.</w:t>
      </w:r>
    </w:p>
    <w:p w14:paraId="2173126F" w14:textId="4E434CD6" w:rsidR="00D03433" w:rsidRPr="00D03433" w:rsidRDefault="00EF4C04" w:rsidP="005056AC">
      <w:pPr>
        <w:pStyle w:val="Quote"/>
      </w:pPr>
      <w:r w:rsidRPr="008D727D">
        <w:rPr>
          <w:i w:val="0"/>
          <w:iCs w:val="0"/>
        </w:rPr>
        <w:t>« </w:t>
      </w:r>
      <w:r>
        <w:t>On</w:t>
      </w:r>
      <w:r w:rsidRPr="00EF4C04">
        <w:t xml:space="preserve"> a </w:t>
      </w:r>
      <w:r>
        <w:t>[…]</w:t>
      </w:r>
      <w:r w:rsidRPr="00EF4C04">
        <w:t xml:space="preserve"> </w:t>
      </w:r>
      <w:r>
        <w:t>le</w:t>
      </w:r>
      <w:r w:rsidRPr="00EF4C04">
        <w:t xml:space="preserve"> souhait d'avoir un </w:t>
      </w:r>
      <w:proofErr w:type="spellStart"/>
      <w:r w:rsidRPr="008D727D">
        <w:rPr>
          <w:i w:val="0"/>
          <w:iCs w:val="0"/>
        </w:rPr>
        <w:t>membership</w:t>
      </w:r>
      <w:proofErr w:type="spellEnd"/>
      <w:r w:rsidRPr="00EF4C04">
        <w:t xml:space="preserve"> qui permet</w:t>
      </w:r>
      <w:r>
        <w:t>te</w:t>
      </w:r>
      <w:r w:rsidRPr="00EF4C04">
        <w:t xml:space="preserve"> aux gens de pouvoir se prononcer</w:t>
      </w:r>
      <w:r>
        <w:t>,</w:t>
      </w:r>
      <w:r w:rsidRPr="00EF4C04">
        <w:t xml:space="preserve"> de nous suggérer des priorités de développement, certains types de formulaires</w:t>
      </w:r>
      <w:r>
        <w:t>,</w:t>
      </w:r>
      <w:r w:rsidRPr="00EF4C04">
        <w:t xml:space="preserve"> ou l'amélioration de fonctionnalités.</w:t>
      </w:r>
      <w:r>
        <w:t> </w:t>
      </w:r>
      <w:r w:rsidRPr="008B2192">
        <w:rPr>
          <w:i w:val="0"/>
          <w:iCs w:val="0"/>
        </w:rPr>
        <w:t>»</w:t>
      </w:r>
      <w:r w:rsidR="00D03433" w:rsidRPr="008B2192">
        <w:rPr>
          <w:i w:val="0"/>
          <w:iCs w:val="0"/>
        </w:rPr>
        <w:t xml:space="preserve"> 2NG37R</w:t>
      </w:r>
    </w:p>
    <w:p w14:paraId="068FAB67" w14:textId="2641CF4F" w:rsidR="007D7CE2" w:rsidRDefault="00D93FE0" w:rsidP="005056AC">
      <w:r>
        <w:t xml:space="preserve">Enfin, en rejoignant le </w:t>
      </w:r>
      <w:r w:rsidR="000261A3">
        <w:t xml:space="preserve">comité exécutif </w:t>
      </w:r>
      <w:proofErr w:type="spellStart"/>
      <w:r w:rsidR="000261A3">
        <w:t>Géofluence</w:t>
      </w:r>
      <w:proofErr w:type="spellEnd"/>
      <w:r>
        <w:t xml:space="preserve"> et en </w:t>
      </w:r>
      <w:r w:rsidR="000261A3">
        <w:t>prenant à sa charge certaines des fonctions opérationnelles</w:t>
      </w:r>
      <w:r>
        <w:t xml:space="preserve"> le ROBVQ </w:t>
      </w:r>
      <w:r w:rsidR="001F5861">
        <w:t>intègre cette nouvelle structure de gouvernance à sa propre structure organisationnelle. Le leadership numérique de la méta-organisation va ainsi de pair</w:t>
      </w:r>
      <w:r w:rsidR="00351243">
        <w:t xml:space="preserve"> avec un cadre de leadership collectif, assurant un aller-retour permanent entre les </w:t>
      </w:r>
      <w:r w:rsidR="007D7CE2">
        <w:t>OBV membres et le ROBVQ autour des priorités stratégiques à conduire pour le développement du SIIO.</w:t>
      </w:r>
    </w:p>
    <w:p w14:paraId="560E2333" w14:textId="49E8AEA6" w:rsidR="00C569DE" w:rsidRPr="00C569DE" w:rsidRDefault="00F959B7" w:rsidP="005056AC">
      <w:pPr>
        <w:pStyle w:val="Quote"/>
      </w:pPr>
      <w:r w:rsidRPr="008B2192">
        <w:rPr>
          <w:i w:val="0"/>
          <w:iCs w:val="0"/>
        </w:rPr>
        <w:t>« </w:t>
      </w:r>
      <w:r w:rsidR="00C569DE">
        <w:t>J</w:t>
      </w:r>
      <w:r w:rsidR="00C569DE" w:rsidRPr="00C569DE">
        <w:t>'ai comme l'impression que le rôle du ROBVQ est appelé à se diriger de plus en plus ver</w:t>
      </w:r>
      <w:r w:rsidR="00C569DE">
        <w:t>s</w:t>
      </w:r>
      <w:r w:rsidR="00C569DE" w:rsidRPr="00C569DE">
        <w:t xml:space="preserve"> ce genre de projet</w:t>
      </w:r>
      <w:r w:rsidR="008B2192">
        <w:t>s</w:t>
      </w:r>
      <w:r w:rsidR="00C569DE" w:rsidRPr="00C569DE">
        <w:t xml:space="preserve"> de gestion</w:t>
      </w:r>
      <w:r w:rsidR="00C569DE">
        <w:t>,</w:t>
      </w:r>
      <w:r w:rsidR="00C569DE" w:rsidRPr="00C569DE">
        <w:t xml:space="preserve"> de diffusion d'informations aussi, puis de centralisation de la donnée.</w:t>
      </w:r>
      <w:r>
        <w:t> </w:t>
      </w:r>
      <w:r w:rsidRPr="008B2192">
        <w:rPr>
          <w:i w:val="0"/>
          <w:iCs w:val="0"/>
        </w:rPr>
        <w:t>» P21WX1</w:t>
      </w:r>
    </w:p>
    <w:p w14:paraId="02ED67A3" w14:textId="031A3CF7" w:rsidR="00A20993" w:rsidRDefault="00A9548D" w:rsidP="005056AC">
      <w:r w:rsidRPr="00FE2C10">
        <w:t>Nous retrouvons ce même facteur dans le contexte du RESAM.</w:t>
      </w:r>
      <w:r w:rsidR="007D7CE2" w:rsidRPr="00FE2C10">
        <w:t xml:space="preserve"> </w:t>
      </w:r>
      <w:r w:rsidR="00AB1969" w:rsidRPr="00FE2C10">
        <w:t>GFQ a établi un</w:t>
      </w:r>
      <w:r w:rsidR="009F2EC0" w:rsidRPr="00FE2C10">
        <w:t xml:space="preserve"> cadre de coordination de la communauté de pratique autour du SIIO. Ce cadre permet aux groupements forestiers membres de partager leurs innovations, de les disséminer auprès des autres groupements forestiers</w:t>
      </w:r>
      <w:r w:rsidR="00423C68" w:rsidRPr="00FE2C10">
        <w:t>, et éventuellement de standardiser les pratiques de</w:t>
      </w:r>
      <w:r w:rsidR="00864C78" w:rsidRPr="00FE2C10">
        <w:t xml:space="preserve"> ces organisations</w:t>
      </w:r>
      <w:r w:rsidR="009F2EC0" w:rsidRPr="00FE2C10">
        <w:t>.</w:t>
      </w:r>
      <w:r w:rsidR="009A0CFD">
        <w:t xml:space="preserve"> Un directeur nous a raconté l’exemple d’une nouvelle pratique de gestion qu’il a mise en place dans son groupement forestier :</w:t>
      </w:r>
    </w:p>
    <w:p w14:paraId="1F883E56" w14:textId="20A17ABE" w:rsidR="008A4016" w:rsidRDefault="008A4016" w:rsidP="00FE2C10">
      <w:pPr>
        <w:pStyle w:val="Quote"/>
      </w:pPr>
      <w:r w:rsidRPr="00F75386">
        <w:rPr>
          <w:i w:val="0"/>
          <w:iCs w:val="0"/>
        </w:rPr>
        <w:t>« </w:t>
      </w:r>
      <w:r w:rsidR="00F75386">
        <w:t>J</w:t>
      </w:r>
      <w:r>
        <w:t>e parle beaucoup avec d'autres directeurs des groupements forestiers autour de moi.</w:t>
      </w:r>
      <w:r w:rsidR="00A52511">
        <w:t xml:space="preserve"> </w:t>
      </w:r>
      <w:r>
        <w:t xml:space="preserve">Puis ça les a intéressés. Et puis de fil en aiguille, il y a 22 autres groupements qui ont intégré cette pratique-là dans leur entreprise, jusqu'à </w:t>
      </w:r>
      <w:r w:rsidR="00A52511">
        <w:t>GFQ</w:t>
      </w:r>
      <w:r>
        <w:t>, tout dernièrement.</w:t>
      </w:r>
      <w:r w:rsidR="00A52511" w:rsidRPr="001D797C">
        <w:rPr>
          <w:i w:val="0"/>
          <w:iCs w:val="0"/>
        </w:rPr>
        <w:t xml:space="preserve"> […]</w:t>
      </w:r>
      <w:r w:rsidR="00A52511">
        <w:t xml:space="preserve"> GFQ</w:t>
      </w:r>
      <w:r>
        <w:t xml:space="preserve"> sont allés chercher des budgets</w:t>
      </w:r>
      <w:r w:rsidR="00A52511" w:rsidRPr="001D797C">
        <w:rPr>
          <w:i w:val="0"/>
          <w:iCs w:val="0"/>
        </w:rPr>
        <w:t xml:space="preserve"> […]</w:t>
      </w:r>
      <w:r>
        <w:t xml:space="preserve"> </w:t>
      </w:r>
      <w:r w:rsidR="00A52511">
        <w:t>Le</w:t>
      </w:r>
      <w:r>
        <w:t xml:space="preserve"> but serait </w:t>
      </w:r>
      <w:r w:rsidR="00A52511">
        <w:t>peut-être</w:t>
      </w:r>
      <w:r>
        <w:t xml:space="preserve"> d'intégrer ça dans les 37 groupements forestiers</w:t>
      </w:r>
      <w:r w:rsidR="00FE2C10">
        <w:t xml:space="preserve"> </w:t>
      </w:r>
      <w:r>
        <w:t xml:space="preserve">au Québec, pour </w:t>
      </w:r>
      <w:r w:rsidR="001D797C">
        <w:t>que</w:t>
      </w:r>
      <w:r>
        <w:t xml:space="preserve"> tout le monde</w:t>
      </w:r>
      <w:r w:rsidR="001D797C">
        <w:t xml:space="preserve"> s’améliore</w:t>
      </w:r>
      <w:r>
        <w:t>.</w:t>
      </w:r>
      <w:r w:rsidR="00FE2C10">
        <w:t> </w:t>
      </w:r>
      <w:r w:rsidR="00FE2C10" w:rsidRPr="001D797C">
        <w:rPr>
          <w:i w:val="0"/>
          <w:iCs w:val="0"/>
        </w:rPr>
        <w:t>» IYAFXR</w:t>
      </w:r>
    </w:p>
    <w:p w14:paraId="5DB7E7E6" w14:textId="1B854A44" w:rsidR="005F7A23" w:rsidRDefault="00DF1462" w:rsidP="005B7F57">
      <w:pPr>
        <w:pStyle w:val="Heading3"/>
      </w:pPr>
      <w:r>
        <w:t>Facteurs technologiques</w:t>
      </w:r>
    </w:p>
    <w:p w14:paraId="09B7984A" w14:textId="17C64D41" w:rsidR="00A1220D" w:rsidRPr="00A1220D" w:rsidRDefault="000B1610" w:rsidP="005056AC">
      <w:r>
        <w:t>Une troisième dimension a émergé de notre étude :</w:t>
      </w:r>
      <w:r w:rsidR="00F42E5C">
        <w:t xml:space="preserve"> l</w:t>
      </w:r>
      <w:r w:rsidR="007A55B2">
        <w:t>e besoin d’une infrastructure numérique</w:t>
      </w:r>
      <w:r w:rsidR="00177853">
        <w:t xml:space="preserve"> adaptée </w:t>
      </w:r>
      <w:r w:rsidR="000B49F6">
        <w:t xml:space="preserve">à l’émergence de SIIO cohérents avec les besoins des organisations et les caractéristiques de la structure de collaboration. Trois niveaux d’infrastructure ont été identifiés : la connectivité (section 4.4.1.1), les standards </w:t>
      </w:r>
      <w:r w:rsidR="00F27A28">
        <w:t>sémantiques</w:t>
      </w:r>
      <w:r w:rsidR="000677BD">
        <w:t xml:space="preserve"> </w:t>
      </w:r>
      <w:r w:rsidR="000B49F6">
        <w:t>(section 4.4.1.2), et l</w:t>
      </w:r>
      <w:r w:rsidR="00F27A28">
        <w:t>es standards applicatifs</w:t>
      </w:r>
      <w:r w:rsidR="000B49F6">
        <w:t xml:space="preserve"> (section 4.4.1.3).</w:t>
      </w:r>
    </w:p>
    <w:p w14:paraId="46CF96A9" w14:textId="440FF58F" w:rsidR="007A55B2" w:rsidRPr="00B374E6" w:rsidRDefault="007A55B2" w:rsidP="00B374E6">
      <w:pPr>
        <w:pStyle w:val="Heading4"/>
      </w:pPr>
      <w:r w:rsidRPr="00B374E6">
        <w:t>Connectivité</w:t>
      </w:r>
    </w:p>
    <w:p w14:paraId="334C4B1D" w14:textId="787D4D51" w:rsidR="00B02E8E" w:rsidRDefault="00B02E8E" w:rsidP="005B7F57">
      <w:r w:rsidRPr="00B374E6">
        <w:t>L’accès à une connexion Internet est</w:t>
      </w:r>
      <w:r w:rsidR="003F796D" w:rsidRPr="00B374E6">
        <w:t xml:space="preserve"> </w:t>
      </w:r>
      <w:r w:rsidR="007B43A8" w:rsidRPr="00B374E6">
        <w:t>évidemment essentiel</w:t>
      </w:r>
      <w:r w:rsidR="00DE066F" w:rsidRPr="00B374E6">
        <w:t xml:space="preserve"> à la participation d’une organisation</w:t>
      </w:r>
      <w:r w:rsidR="00DE066F">
        <w:t xml:space="preserve"> au SIIO</w:t>
      </w:r>
      <w:r w:rsidR="00945327">
        <w:t xml:space="preserve">. </w:t>
      </w:r>
      <w:r w:rsidR="00234568">
        <w:t xml:space="preserve">Notons à cet égard que la connectivité à Internet peut </w:t>
      </w:r>
      <w:r w:rsidR="00774B78">
        <w:t xml:space="preserve">affecter l’organisation à plusieurs niveaux. </w:t>
      </w:r>
      <w:r w:rsidR="004F634C">
        <w:t>La condition de</w:t>
      </w:r>
      <w:r w:rsidR="00774B78">
        <w:t xml:space="preserve"> base</w:t>
      </w:r>
      <w:r w:rsidR="007B43A8">
        <w:t xml:space="preserve"> consiste </w:t>
      </w:r>
      <w:r w:rsidR="004F634C">
        <w:t>à ce que le siège de l’organisat</w:t>
      </w:r>
      <w:r w:rsidR="00CB2AF2">
        <w:t>ion soit équipé</w:t>
      </w:r>
      <w:r w:rsidR="007B43A8">
        <w:t xml:space="preserve"> d</w:t>
      </w:r>
      <w:r w:rsidR="00CB2AF2">
        <w:t>’</w:t>
      </w:r>
      <w:r w:rsidR="007B43A8">
        <w:t xml:space="preserve">ordinateurs de bureau </w:t>
      </w:r>
      <w:r w:rsidR="00663A27">
        <w:t>disposant d’une connexion Internet.</w:t>
      </w:r>
    </w:p>
    <w:p w14:paraId="3AAA53B6" w14:textId="78B4031B" w:rsidR="00661C5C" w:rsidRDefault="000E1FB5" w:rsidP="005056AC">
      <w:r>
        <w:t xml:space="preserve">Selon la structure du SIIO envisagé, il peut être nécessaire que la connexion Internet offre un débit </w:t>
      </w:r>
      <w:r w:rsidR="000057F4">
        <w:t xml:space="preserve">à la fois </w:t>
      </w:r>
      <w:r>
        <w:t>suffisant et stable.</w:t>
      </w:r>
      <w:r w:rsidR="000057F4">
        <w:t xml:space="preserve"> Dans le cas d’un SIIO centralisé prévoyant de centraliser l’ensemble des données au sein d’une même base de données, une coupure ou un ralentissement de la connexion peut compromettre l’accès de l’organisation à ses propres données.</w:t>
      </w:r>
    </w:p>
    <w:p w14:paraId="3B16C62B" w14:textId="23BFCC5B" w:rsidR="00CF14C7" w:rsidRPr="00CF14C7" w:rsidRDefault="00113703" w:rsidP="00CF14C7">
      <w:pPr>
        <w:pStyle w:val="Quote"/>
      </w:pPr>
      <w:r w:rsidRPr="0073499C">
        <w:rPr>
          <w:i w:val="0"/>
          <w:iCs w:val="0"/>
        </w:rPr>
        <w:t>« </w:t>
      </w:r>
      <w:r w:rsidR="0073499C">
        <w:rPr>
          <w:i w:val="0"/>
          <w:iCs w:val="0"/>
        </w:rPr>
        <w:t xml:space="preserve">[Les solutions </w:t>
      </w:r>
      <w:r w:rsidR="0073499C" w:rsidRPr="0073499C">
        <w:t>cloud</w:t>
      </w:r>
      <w:r w:rsidR="0073499C">
        <w:rPr>
          <w:i w:val="0"/>
          <w:iCs w:val="0"/>
        </w:rPr>
        <w:t>]</w:t>
      </w:r>
      <w:r w:rsidRPr="00113703">
        <w:t xml:space="preserve"> c’est super cool.</w:t>
      </w:r>
      <w:r>
        <w:t xml:space="preserve"> </w:t>
      </w:r>
      <w:proofErr w:type="gramStart"/>
      <w:r w:rsidRPr="00113703">
        <w:t>Par contre</w:t>
      </w:r>
      <w:proofErr w:type="gramEnd"/>
      <w:r w:rsidRPr="00113703">
        <w:t xml:space="preserve">, l’internet plante, si </w:t>
      </w:r>
      <w:r w:rsidR="00DC02EE" w:rsidRPr="00113703">
        <w:t>tu ne l’as pas</w:t>
      </w:r>
      <w:r w:rsidRPr="00113703">
        <w:t xml:space="preserve"> stocké en local</w:t>
      </w:r>
      <w:r>
        <w:t xml:space="preserve">, </w:t>
      </w:r>
      <w:r w:rsidRPr="00113703">
        <w:t>b</w:t>
      </w:r>
      <w:r>
        <w:t>e</w:t>
      </w:r>
      <w:r w:rsidRPr="00113703">
        <w:t>n… donc quand t'es en situation stable</w:t>
      </w:r>
      <w:r w:rsidR="0073499C">
        <w:t xml:space="preserve"> </w:t>
      </w:r>
      <w:r w:rsidR="0073499C">
        <w:rPr>
          <w:i w:val="0"/>
          <w:iCs w:val="0"/>
        </w:rPr>
        <w:t>[…]</w:t>
      </w:r>
      <w:r w:rsidRPr="00113703">
        <w:t>, en ville, tout ça c'est moins p</w:t>
      </w:r>
      <w:r w:rsidR="003309D8">
        <w:t>roblématique</w:t>
      </w:r>
      <w:r w:rsidRPr="00113703">
        <w:t>. Certains OBV sont plus</w:t>
      </w:r>
      <w:r w:rsidR="00B66DB1">
        <w:t xml:space="preserve"> </w:t>
      </w:r>
      <w:r w:rsidR="00B66DB1">
        <w:rPr>
          <w:i w:val="0"/>
          <w:iCs w:val="0"/>
        </w:rPr>
        <w:t>[</w:t>
      </w:r>
      <w:r w:rsidR="00B66DB1" w:rsidRPr="00B66DB1">
        <w:rPr>
          <w:i w:val="0"/>
          <w:iCs w:val="0"/>
        </w:rPr>
        <w:t>éloignés</w:t>
      </w:r>
      <w:r w:rsidR="00B66DB1">
        <w:rPr>
          <w:i w:val="0"/>
          <w:iCs w:val="0"/>
        </w:rPr>
        <w:t>]</w:t>
      </w:r>
      <w:r w:rsidR="00B66DB1">
        <w:t>,</w:t>
      </w:r>
      <w:r w:rsidRPr="00113703">
        <w:t xml:space="preserve"> en région.</w:t>
      </w:r>
      <w:r w:rsidRPr="0073499C">
        <w:rPr>
          <w:i w:val="0"/>
          <w:iCs w:val="0"/>
        </w:rPr>
        <w:t> »</w:t>
      </w:r>
      <w:r w:rsidR="00DC02EE">
        <w:t xml:space="preserve"> </w:t>
      </w:r>
      <w:r w:rsidR="00DC02EE" w:rsidRPr="00DC02EE">
        <w:t>5G9TJ2</w:t>
      </w:r>
    </w:p>
    <w:p w14:paraId="40120543" w14:textId="2C2EDB8A" w:rsidR="005C5095" w:rsidRDefault="008C61EF" w:rsidP="005056AC">
      <w:r>
        <w:t>L’é</w:t>
      </w:r>
      <w:r w:rsidR="005C5095">
        <w:t xml:space="preserve">cueil </w:t>
      </w:r>
      <w:r>
        <w:t xml:space="preserve">d’une connectivité instable </w:t>
      </w:r>
      <w:r w:rsidR="005C5095">
        <w:t>peut néanmoins être contourné avec la mise en place d’un SIIO décentralisé, reposant sur des serveurs locaux fédérés.</w:t>
      </w:r>
      <w:r w:rsidR="000677BD">
        <w:t xml:space="preserve"> </w:t>
      </w:r>
      <w:r w:rsidR="00E767FD">
        <w:t>Notons qu’une telle solution requiert la définition de standards d’interopérabilité (section 4.4.1.2 ci-dessous).</w:t>
      </w:r>
    </w:p>
    <w:p w14:paraId="6EB6588E" w14:textId="69ECECA2" w:rsidR="00E767FD" w:rsidRDefault="0046719B" w:rsidP="005056AC">
      <w:r>
        <w:t>Outre le siège de l’organisation, le SIIO peut être destiné à collecter des données produites sur le terrain.</w:t>
      </w:r>
      <w:r w:rsidR="00BD74D5">
        <w:t xml:space="preserve"> L’accès à ces données peut nécessiter que des endroits reculés soient dotés d’une couverture mobile.</w:t>
      </w:r>
      <w:r w:rsidR="00544CB9">
        <w:t xml:space="preserve"> </w:t>
      </w:r>
    </w:p>
    <w:p w14:paraId="413F0334" w14:textId="03161692" w:rsidR="00CF14C7" w:rsidRPr="00B02E8E" w:rsidRDefault="00CF14C7" w:rsidP="00CF14C7">
      <w:pPr>
        <w:pStyle w:val="Quote"/>
      </w:pPr>
      <w:r w:rsidRPr="003309D8">
        <w:rPr>
          <w:i w:val="0"/>
          <w:iCs w:val="0"/>
        </w:rPr>
        <w:t>« </w:t>
      </w:r>
      <w:r>
        <w:t xml:space="preserve">On paye tous des forfaits cellulaires à des prix exorbitants, mais il y a </w:t>
      </w:r>
      <w:r w:rsidR="003309D8">
        <w:t>plein d’endroits</w:t>
      </w:r>
      <w:r>
        <w:t xml:space="preserve"> </w:t>
      </w:r>
      <w:r w:rsidR="00CD200F">
        <w:t>où on</w:t>
      </w:r>
      <w:r>
        <w:t xml:space="preserve"> </w:t>
      </w:r>
      <w:r w:rsidR="00CD200F">
        <w:t>n’</w:t>
      </w:r>
      <w:r>
        <w:t xml:space="preserve">a aucun signal cellulaire. </w:t>
      </w:r>
      <w:r w:rsidR="00CD200F">
        <w:t>Ç</w:t>
      </w:r>
      <w:r>
        <w:t xml:space="preserve">a varie selon les régions, mais c'est quand même généralisé au Québec. </w:t>
      </w:r>
      <w:r w:rsidR="003309D8">
        <w:t>Ç</w:t>
      </w:r>
      <w:r>
        <w:t>a, ça peut devenir un frein pour certaines technologies. </w:t>
      </w:r>
      <w:r w:rsidRPr="003309D8">
        <w:rPr>
          <w:i w:val="0"/>
          <w:iCs w:val="0"/>
        </w:rPr>
        <w:t xml:space="preserve">» </w:t>
      </w:r>
      <w:r w:rsidR="00B37715" w:rsidRPr="003309D8">
        <w:rPr>
          <w:i w:val="0"/>
          <w:iCs w:val="0"/>
        </w:rPr>
        <w:t>VNPGGT</w:t>
      </w:r>
    </w:p>
    <w:p w14:paraId="0C590730" w14:textId="54B42A43" w:rsidR="005F7A23" w:rsidRDefault="002E5310" w:rsidP="00B374E6">
      <w:pPr>
        <w:pStyle w:val="Heading4"/>
      </w:pPr>
      <w:r>
        <w:t>Interopérabilité</w:t>
      </w:r>
      <w:r w:rsidR="00502E86">
        <w:t xml:space="preserve"> </w:t>
      </w:r>
      <w:r w:rsidR="00F27A28">
        <w:t>sémantique</w:t>
      </w:r>
    </w:p>
    <w:p w14:paraId="7A2D4D54" w14:textId="77777777" w:rsidR="00775C81" w:rsidRDefault="00F27A28" w:rsidP="005056AC">
      <w:r>
        <w:t xml:space="preserve">Les standards sémantiques font référence à la façon dont est décrite la donnée. </w:t>
      </w:r>
      <w:r w:rsidR="009022C5">
        <w:t xml:space="preserve">Un alignement sémantique entre bases de données est nécessaire </w:t>
      </w:r>
      <w:r w:rsidR="00243699">
        <w:t xml:space="preserve">pour permettre </w:t>
      </w:r>
      <w:r w:rsidR="00EB2C57">
        <w:t xml:space="preserve">de consolider les données des organisations participantes à un SIIO. </w:t>
      </w:r>
    </w:p>
    <w:p w14:paraId="43209687" w14:textId="7BC79881" w:rsidR="00624B6D" w:rsidRDefault="00EB2C57" w:rsidP="005056AC">
      <w:r>
        <w:t xml:space="preserve">Comme nous l’avons vu en introduction (section 2.2.1), </w:t>
      </w:r>
      <w:r w:rsidR="008A63BF">
        <w:t xml:space="preserve">un SIIO peut être plus ou moins centralisé, ce qui implique </w:t>
      </w:r>
      <w:r w:rsidR="00966DD8">
        <w:t>différentes approches de standardisation sémantique.</w:t>
      </w:r>
      <w:r w:rsidR="00775C81">
        <w:t xml:space="preserve"> </w:t>
      </w:r>
      <w:r w:rsidR="00966DD8">
        <w:t>Dans la logique d’un SIIO centralisé, la standardisation sémantique est</w:t>
      </w:r>
      <w:r w:rsidR="0042481B">
        <w:t xml:space="preserve"> notamment</w:t>
      </w:r>
      <w:r w:rsidR="00966DD8">
        <w:t xml:space="preserve"> mise en œuvre par l’intermédiaire de l’interface utilisateur. </w:t>
      </w:r>
      <w:r w:rsidR="0042481B">
        <w:t xml:space="preserve">L’interface est élaborée </w:t>
      </w:r>
      <w:proofErr w:type="gramStart"/>
      <w:r w:rsidR="0042481B">
        <w:t>de façon à ce</w:t>
      </w:r>
      <w:proofErr w:type="gramEnd"/>
      <w:r w:rsidR="0042481B">
        <w:t xml:space="preserve"> que l’utilisateur entre des information</w:t>
      </w:r>
      <w:r w:rsidR="00CE5BF0">
        <w:t>s</w:t>
      </w:r>
      <w:r w:rsidR="0042481B">
        <w:t xml:space="preserve"> selon un certain format, correspondant à </w:t>
      </w:r>
      <w:r w:rsidR="00CE5BF0">
        <w:t xml:space="preserve">la description des champs de la base de données. Dans la logique d’un SIIO décentralisé toutefois, la standardisation sémantique nécessite </w:t>
      </w:r>
      <w:r w:rsidR="00191FC1">
        <w:t>que l’ensemble des organisations alignent leurs bases de données respective</w:t>
      </w:r>
      <w:r w:rsidR="00624B6D">
        <w:t>s</w:t>
      </w:r>
      <w:r w:rsidR="006120F8">
        <w:t>.</w:t>
      </w:r>
    </w:p>
    <w:p w14:paraId="15A5F101" w14:textId="1A1B7142" w:rsidR="00224F84" w:rsidRDefault="00775C81" w:rsidP="005056AC">
      <w:r>
        <w:t>Le choix du standard sémantique n’est pas anodin</w:t>
      </w:r>
      <w:r w:rsidR="00587CB2">
        <w:t>.</w:t>
      </w:r>
      <w:r w:rsidR="00B42A3A">
        <w:t xml:space="preserve"> La refonte d’une base de données étant complexe et coûteuse (d’autant plus </w:t>
      </w:r>
      <w:r w:rsidR="0062647D">
        <w:t>dans le contexte d’un SIIO décentralisé)</w:t>
      </w:r>
      <w:r w:rsidR="00B42A3A">
        <w:t>, le concepteur de la base de données peut vouloir s’assurer que les choix sémantiques qu’il opère soient les plus</w:t>
      </w:r>
      <w:r w:rsidR="0062647D">
        <w:t xml:space="preserve"> pérennes possibles.</w:t>
      </w:r>
      <w:r w:rsidR="00224F84">
        <w:t xml:space="preserve"> </w:t>
      </w:r>
    </w:p>
    <w:p w14:paraId="29D4A5CD" w14:textId="316C4842" w:rsidR="00224F84" w:rsidRPr="00224F84" w:rsidRDefault="00224F84" w:rsidP="005056AC">
      <w:pPr>
        <w:pStyle w:val="Quote"/>
      </w:pPr>
      <w:r w:rsidRPr="007A0D73">
        <w:rPr>
          <w:i w:val="0"/>
          <w:iCs w:val="0"/>
        </w:rPr>
        <w:t>« </w:t>
      </w:r>
      <w:r>
        <w:t>O</w:t>
      </w:r>
      <w:r w:rsidRPr="00224F84">
        <w:t>n voulait que ça ne soit pas variable d'une année à l'autre</w:t>
      </w:r>
      <w:r>
        <w:t xml:space="preserve"> </w:t>
      </w:r>
      <w:r w:rsidRPr="000C5CBB">
        <w:rPr>
          <w:i w:val="0"/>
          <w:iCs w:val="0"/>
        </w:rPr>
        <w:t>[…]</w:t>
      </w:r>
      <w:r w:rsidRPr="00224F84">
        <w:t xml:space="preserve"> Nous, ce qu'on a décidé de faire, c'est d'essayer de s'appuyer autant que possible sur des standards internationaux. C'était la structure qu'on voulait se donner au niveau de la base de données. Donc quand on cré</w:t>
      </w:r>
      <w:r>
        <w:t>e</w:t>
      </w:r>
      <w:r w:rsidRPr="00224F84">
        <w:t xml:space="preserve"> nos formulaires, quand on crée la structure</w:t>
      </w:r>
      <w:r>
        <w:t xml:space="preserve"> </w:t>
      </w:r>
      <w:r w:rsidRPr="00224F84">
        <w:t>fondamentale de notre d'architecture relationnelle</w:t>
      </w:r>
      <w:r>
        <w:t>,</w:t>
      </w:r>
      <w:r w:rsidRPr="00224F84">
        <w:t xml:space="preserve"> la manière </w:t>
      </w:r>
      <w:r w:rsidR="000C5CBB">
        <w:t>dont</w:t>
      </w:r>
      <w:r w:rsidRPr="00224F84">
        <w:t xml:space="preserve"> nos tables sont créées, on essay</w:t>
      </w:r>
      <w:r w:rsidR="000C5CBB">
        <w:t>e</w:t>
      </w:r>
      <w:r w:rsidRPr="00224F84">
        <w:t xml:space="preserve"> autant que possible de s'appuyer sur des standards internationaux.</w:t>
      </w:r>
      <w:r w:rsidRPr="000C5CBB">
        <w:rPr>
          <w:i w:val="0"/>
          <w:iCs w:val="0"/>
        </w:rPr>
        <w:t> »</w:t>
      </w:r>
      <w:r w:rsidR="00CD041A" w:rsidRPr="000C5CBB">
        <w:rPr>
          <w:i w:val="0"/>
          <w:iCs w:val="0"/>
        </w:rPr>
        <w:t xml:space="preserve"> 7K7VC7</w:t>
      </w:r>
    </w:p>
    <w:p w14:paraId="3CE7F84F" w14:textId="342BF6C0" w:rsidR="00D13754" w:rsidRDefault="00D13754" w:rsidP="005056AC">
      <w:r>
        <w:t xml:space="preserve">En outre, </w:t>
      </w:r>
      <w:r w:rsidR="008A7C5A">
        <w:t>adopter des</w:t>
      </w:r>
      <w:r>
        <w:t xml:space="preserve"> standards ouverts préexistants permet d</w:t>
      </w:r>
      <w:r w:rsidR="00EB4A43">
        <w:t xml:space="preserve">e renforcer la compatibilité de la base de données avec des outils externes. </w:t>
      </w:r>
      <w:r w:rsidR="00963B3D">
        <w:t xml:space="preserve">En effet, dans le cas de </w:t>
      </w:r>
      <w:proofErr w:type="spellStart"/>
      <w:r w:rsidR="00963B3D">
        <w:t>Géofluence</w:t>
      </w:r>
      <w:proofErr w:type="spellEnd"/>
      <w:r w:rsidR="00963B3D">
        <w:t xml:space="preserve"> comme dans celui du RESAM, les données sont éventuellement destinées à être partagées avec plusieurs acteurs, dont les ministères : un alignement sémantique entre le SIIO des écosystèmes et les systèmes d’information des partenaires contribue à réduire le </w:t>
      </w:r>
      <w:r w:rsidR="00270B40">
        <w:t>travail nécessaire pour exploiter lesdites données.</w:t>
      </w:r>
    </w:p>
    <w:p w14:paraId="00B495E9" w14:textId="6CD4DD0E" w:rsidR="00CD0500" w:rsidRPr="00CD0500" w:rsidRDefault="00656CDE" w:rsidP="005056AC">
      <w:pPr>
        <w:pStyle w:val="Quote"/>
      </w:pPr>
      <w:r w:rsidRPr="007A0D73">
        <w:rPr>
          <w:i w:val="0"/>
          <w:iCs w:val="0"/>
        </w:rPr>
        <w:t>« </w:t>
      </w:r>
      <w:r w:rsidRPr="00656CDE">
        <w:t>On s'est dit</w:t>
      </w:r>
      <w:r>
        <w:t xml:space="preserve"> : </w:t>
      </w:r>
      <w:r w:rsidRPr="00656CDE">
        <w:t xml:space="preserve">tant qu'à faire, on va créer un écosystème qui permettrait de transférer plus facilement ça par les canaux comme </w:t>
      </w:r>
      <w:r>
        <w:t>D</w:t>
      </w:r>
      <w:r w:rsidRPr="00656CDE">
        <w:t xml:space="preserve">onnées Québec, la </w:t>
      </w:r>
      <w:r>
        <w:t>F</w:t>
      </w:r>
      <w:r w:rsidRPr="00656CDE">
        <w:t>orge gouvernementale, ces choses-là. Puis, tant qu'à le faire, on va le faire de manière informatique fluide plutôt que de le faire au compte-goutte par quelqu'un qui doit manipul</w:t>
      </w:r>
      <w:r>
        <w:t>er</w:t>
      </w:r>
      <w:r w:rsidRPr="00656CDE">
        <w:t xml:space="preserve"> l'information</w:t>
      </w:r>
      <w:r w:rsidR="00D60B03">
        <w:t>.</w:t>
      </w:r>
      <w:r>
        <w:t> </w:t>
      </w:r>
      <w:r w:rsidRPr="007A0D73">
        <w:rPr>
          <w:i w:val="0"/>
          <w:iCs w:val="0"/>
        </w:rPr>
        <w:t xml:space="preserve">» </w:t>
      </w:r>
      <w:r w:rsidR="00CD0500" w:rsidRPr="007A0D73">
        <w:rPr>
          <w:i w:val="0"/>
          <w:iCs w:val="0"/>
        </w:rPr>
        <w:t>7K7VC7</w:t>
      </w:r>
    </w:p>
    <w:p w14:paraId="2D221312" w14:textId="07E3E814" w:rsidR="00B42A3A" w:rsidRDefault="005D1A57" w:rsidP="005056AC">
      <w:r>
        <w:t xml:space="preserve">Les personnes ayant élaboré le SIIO </w:t>
      </w:r>
      <w:proofErr w:type="spellStart"/>
      <w:r>
        <w:t>Géofluence</w:t>
      </w:r>
      <w:proofErr w:type="spellEnd"/>
      <w:r>
        <w:t xml:space="preserve"> ont ainsi </w:t>
      </w:r>
      <w:r w:rsidR="00270B40">
        <w:t>souhaité prendre</w:t>
      </w:r>
      <w:r>
        <w:t xml:space="preserve"> en considération deux types de standards : les standards internationaux, </w:t>
      </w:r>
      <w:r w:rsidR="00270B40">
        <w:t xml:space="preserve">et les standards gouvernementaux. </w:t>
      </w:r>
      <w:r w:rsidR="0071540B">
        <w:t xml:space="preserve">Toutefois, </w:t>
      </w:r>
      <w:r w:rsidR="000556C0">
        <w:t>les structures de données des ministères peuvent être en contradiction avec les standards internationaux – et des disparités importantes semblent perdurer entre les directions ministérielles.</w:t>
      </w:r>
    </w:p>
    <w:p w14:paraId="4D4B006F" w14:textId="313D5B55" w:rsidR="002653C2" w:rsidRPr="00D33E19" w:rsidRDefault="00D33E19" w:rsidP="005056AC">
      <w:pPr>
        <w:pStyle w:val="Quote"/>
      </w:pPr>
      <w:r w:rsidRPr="00D60B03">
        <w:rPr>
          <w:i w:val="0"/>
          <w:iCs w:val="0"/>
        </w:rPr>
        <w:t>« </w:t>
      </w:r>
      <w:r>
        <w:t>L</w:t>
      </w:r>
      <w:r w:rsidRPr="00D33E19">
        <w:t>es grandes bases de données des ministères, celles qui qui traitent des services publics</w:t>
      </w:r>
      <w:r w:rsidR="001F25F0">
        <w:t xml:space="preserve"> </w:t>
      </w:r>
      <w:r w:rsidR="001F25F0">
        <w:rPr>
          <w:i w:val="0"/>
          <w:iCs w:val="0"/>
        </w:rPr>
        <w:t xml:space="preserve">[paraissent] </w:t>
      </w:r>
      <w:r w:rsidRPr="00D33E19">
        <w:t>un peu plus standardisées. Mais quand on tombe dans les équipes de travail des ministères, c'est pas mal moins le cas.</w:t>
      </w:r>
      <w:r w:rsidRPr="00D60B03">
        <w:rPr>
          <w:i w:val="0"/>
          <w:iCs w:val="0"/>
        </w:rPr>
        <w:t> »</w:t>
      </w:r>
      <w:r w:rsidR="00C37513" w:rsidRPr="00D60B03">
        <w:rPr>
          <w:i w:val="0"/>
          <w:iCs w:val="0"/>
        </w:rPr>
        <w:t xml:space="preserve"> 7K7VC7</w:t>
      </w:r>
    </w:p>
    <w:p w14:paraId="09957025" w14:textId="0F98416A" w:rsidR="00C37513" w:rsidRDefault="00FF3ED4" w:rsidP="005056AC">
      <w:r>
        <w:t>Deux conséquences ont résulté de cette situation.</w:t>
      </w:r>
      <w:r w:rsidR="004465E1">
        <w:t xml:space="preserve"> </w:t>
      </w:r>
      <w:r w:rsidR="004B2F1E">
        <w:t>D’une part</w:t>
      </w:r>
      <w:r w:rsidR="004465E1">
        <w:t xml:space="preserve">, les </w:t>
      </w:r>
      <w:r w:rsidR="000F434D">
        <w:t>techniciens ont dû conduire un travail de recherche intensif visant à comprendre les standards existants, et s’assurer d’intégrer</w:t>
      </w:r>
      <w:r w:rsidR="004B2F1E">
        <w:t xml:space="preserve"> au mieux ces standards</w:t>
      </w:r>
      <w:r w:rsidR="000F434D">
        <w:t xml:space="preserve"> </w:t>
      </w:r>
      <w:r w:rsidR="004B2F1E">
        <w:t>à</w:t>
      </w:r>
      <w:r w:rsidR="000F434D">
        <w:t xml:space="preserve"> la base de données </w:t>
      </w:r>
      <w:proofErr w:type="spellStart"/>
      <w:r w:rsidR="000F434D">
        <w:t>Géofluence</w:t>
      </w:r>
      <w:proofErr w:type="spellEnd"/>
      <w:r w:rsidR="004B2F1E">
        <w:t xml:space="preserve">. D’autre part, </w:t>
      </w:r>
      <w:r w:rsidR="00337765">
        <w:t>les incohérences en présence ont contraint les techniciens à effectuer des choix</w:t>
      </w:r>
      <w:r w:rsidR="003C2FEE">
        <w:t xml:space="preserve">, s’éloignant </w:t>
      </w:r>
      <w:r w:rsidR="003C2FEE">
        <w:rPr>
          <w:i/>
          <w:iCs/>
        </w:rPr>
        <w:t>de facto</w:t>
      </w:r>
      <w:r w:rsidR="003C2FEE">
        <w:t xml:space="preserve"> de leur volonté d’a</w:t>
      </w:r>
      <w:r w:rsidR="00743624">
        <w:t xml:space="preserve">dopter des standards communs avec </w:t>
      </w:r>
      <w:proofErr w:type="gramStart"/>
      <w:r w:rsidR="00743624">
        <w:t>leur partenaires</w:t>
      </w:r>
      <w:proofErr w:type="gramEnd"/>
      <w:r w:rsidR="00743624">
        <w:t>.</w:t>
      </w:r>
    </w:p>
    <w:p w14:paraId="5F12371A" w14:textId="0D129C12" w:rsidR="003D51BD" w:rsidRPr="003C2FEE" w:rsidRDefault="001E6AA7" w:rsidP="005056AC">
      <w:pPr>
        <w:pStyle w:val="Quote"/>
      </w:pPr>
      <w:r w:rsidRPr="00634A90">
        <w:rPr>
          <w:i w:val="0"/>
          <w:iCs w:val="0"/>
        </w:rPr>
        <w:t>« </w:t>
      </w:r>
      <w:r w:rsidRPr="001E6AA7">
        <w:t>On a essayé de s'appuyer sur des gens qui font ça au Québec</w:t>
      </w:r>
      <w:r w:rsidR="002C26CC">
        <w:t xml:space="preserve"> </w:t>
      </w:r>
      <w:r>
        <w:t>[…] O</w:t>
      </w:r>
      <w:r w:rsidRPr="001E6AA7">
        <w:t>n les a contactés pour dire</w:t>
      </w:r>
      <w:r>
        <w:t> :</w:t>
      </w:r>
      <w:r w:rsidRPr="001E6AA7">
        <w:t xml:space="preserve"> on peu</w:t>
      </w:r>
      <w:r>
        <w:t>t</w:t>
      </w:r>
      <w:r w:rsidRPr="001E6AA7">
        <w:t xml:space="preserve"> développer quelque chose avec vous? On voudrai</w:t>
      </w:r>
      <w:r>
        <w:t>t</w:t>
      </w:r>
      <w:r w:rsidRPr="001E6AA7">
        <w:t xml:space="preserve"> vous donner un mandat</w:t>
      </w:r>
      <w:r>
        <w:t xml:space="preserve"> vous que vous</w:t>
      </w:r>
      <w:r w:rsidRPr="001E6AA7">
        <w:t xml:space="preserve"> nous </w:t>
      </w:r>
      <w:r>
        <w:t>aidiez</w:t>
      </w:r>
      <w:r w:rsidRPr="001E6AA7">
        <w:t xml:space="preserve"> à standardiser notre base de données </w:t>
      </w:r>
      <w:r w:rsidR="00634A90">
        <w:t>et</w:t>
      </w:r>
      <w:r w:rsidRPr="001E6AA7">
        <w:t xml:space="preserve"> à répondre à ces standards ouverts.</w:t>
      </w:r>
      <w:r>
        <w:t xml:space="preserve"> </w:t>
      </w:r>
      <w:r w:rsidRPr="002C26CC">
        <w:rPr>
          <w:i w:val="0"/>
          <w:iCs w:val="0"/>
        </w:rPr>
        <w:t>[…]</w:t>
      </w:r>
      <w:r>
        <w:t xml:space="preserve"> </w:t>
      </w:r>
      <w:r w:rsidRPr="001E6AA7">
        <w:t>Ça a duré quelques semaines</w:t>
      </w:r>
      <w:r w:rsidR="002C26CC">
        <w:t xml:space="preserve"> ou</w:t>
      </w:r>
      <w:r w:rsidRPr="001E6AA7">
        <w:t xml:space="preserve"> mois d'échanges avec eux</w:t>
      </w:r>
      <w:r w:rsidR="002C26CC">
        <w:t>,</w:t>
      </w:r>
      <w:r w:rsidRPr="001E6AA7">
        <w:t xml:space="preserve"> pour arriver à la conclusion que</w:t>
      </w:r>
      <w:r>
        <w:t xml:space="preserve"> s</w:t>
      </w:r>
      <w:r w:rsidRPr="001E6AA7">
        <w:t xml:space="preserve">ans parfaitement coller </w:t>
      </w:r>
      <w:r>
        <w:t>à</w:t>
      </w:r>
      <w:r w:rsidRPr="001E6AA7">
        <w:t xml:space="preserve"> tous les standards, on répondait déjà à la plupart de tout ça. </w:t>
      </w:r>
      <w:r w:rsidR="002C26CC">
        <w:t>Ils</w:t>
      </w:r>
      <w:r w:rsidRPr="001E6AA7">
        <w:t xml:space="preserve"> ne pouvaient pas nous </w:t>
      </w:r>
      <w:r w:rsidR="002C26CC">
        <w:t>aider davantage</w:t>
      </w:r>
      <w:r w:rsidRPr="001E6AA7">
        <w:t>.</w:t>
      </w:r>
      <w:r>
        <w:t> </w:t>
      </w:r>
      <w:r w:rsidRPr="002C26CC">
        <w:rPr>
          <w:i w:val="0"/>
          <w:iCs w:val="0"/>
        </w:rPr>
        <w:t>»</w:t>
      </w:r>
      <w:r w:rsidR="00061C63" w:rsidRPr="002C26CC">
        <w:rPr>
          <w:i w:val="0"/>
          <w:iCs w:val="0"/>
        </w:rPr>
        <w:t xml:space="preserve"> 7K7VC7</w:t>
      </w:r>
    </w:p>
    <w:p w14:paraId="2483EB04" w14:textId="16448E8E" w:rsidR="005F7A23" w:rsidRPr="00B374E6" w:rsidRDefault="002E5310" w:rsidP="00B374E6">
      <w:pPr>
        <w:pStyle w:val="Heading4"/>
      </w:pPr>
      <w:r w:rsidRPr="00B374E6">
        <w:t>Interopérabilité technique</w:t>
      </w:r>
    </w:p>
    <w:p w14:paraId="5F1D94F5" w14:textId="2BFE38C8" w:rsidR="00743624" w:rsidRDefault="00880EAA" w:rsidP="005056AC">
      <w:r>
        <w:t xml:space="preserve">Au-delà de l’interopérabilité sémantique, les projets de SIIO étudiés </w:t>
      </w:r>
      <w:r w:rsidR="007A0E89">
        <w:t xml:space="preserve">rencontrent des </w:t>
      </w:r>
      <w:r w:rsidR="00210077">
        <w:t>enjeux</w:t>
      </w:r>
      <w:r w:rsidR="005B7F57">
        <w:t xml:space="preserve"> </w:t>
      </w:r>
      <w:r w:rsidR="007A0E89">
        <w:t>d’interopérabilité technique.</w:t>
      </w:r>
    </w:p>
    <w:p w14:paraId="72ABAD36" w14:textId="77777777" w:rsidR="00E13BA8" w:rsidRDefault="006D656C" w:rsidP="005056AC">
      <w:r>
        <w:t xml:space="preserve">Dans le cas du ROBVQ, l’interopérabilité technique est à établir entre le MELCC, qui a adopté une solution propriétaire, et </w:t>
      </w:r>
      <w:proofErr w:type="spellStart"/>
      <w:r>
        <w:t>Géofluence</w:t>
      </w:r>
      <w:proofErr w:type="spellEnd"/>
      <w:r>
        <w:t xml:space="preserve">, basé sur un code open source. </w:t>
      </w:r>
      <w:r w:rsidR="00AF4321">
        <w:t>Pour ce qui est de GFQ, l</w:t>
      </w:r>
      <w:r w:rsidR="00C4311E">
        <w:t xml:space="preserve">e RESAM était conçu pour être interopérable avec le système des agents… </w:t>
      </w:r>
      <w:r w:rsidR="00E87634">
        <w:t>Néanmoins,</w:t>
      </w:r>
      <w:r w:rsidR="00965537">
        <w:t xml:space="preserve"> la réflexion se poursuit de continuer à intégrer les différent</w:t>
      </w:r>
      <w:r w:rsidR="009C72DA">
        <w:t xml:space="preserve">es applications </w:t>
      </w:r>
      <w:r w:rsidR="00C55AB9">
        <w:t>utilisé</w:t>
      </w:r>
      <w:r w:rsidR="009C72DA">
        <w:t>e</w:t>
      </w:r>
      <w:r w:rsidR="00C55AB9">
        <w:t>s par les acteurs de la chaîne de valeur, afin de permettre une circulation plus fluide de l’ensemble des données du secteur forestier.</w:t>
      </w:r>
    </w:p>
    <w:p w14:paraId="67365306" w14:textId="6DF3E00E" w:rsidR="00E13BA8" w:rsidRPr="005056AC" w:rsidRDefault="005056AC" w:rsidP="005056AC">
      <w:pPr>
        <w:pStyle w:val="Quote"/>
      </w:pPr>
      <w:r w:rsidRPr="00CC58E6">
        <w:rPr>
          <w:i w:val="0"/>
          <w:iCs w:val="0"/>
        </w:rPr>
        <w:t>« </w:t>
      </w:r>
      <w:r w:rsidR="00E13BA8" w:rsidRPr="00CC58E6">
        <w:rPr>
          <w:i w:val="0"/>
          <w:iCs w:val="0"/>
        </w:rPr>
        <w:t>[Chercheur]</w:t>
      </w:r>
      <w:r w:rsidR="00E13BA8" w:rsidRPr="005056AC">
        <w:t xml:space="preserve"> </w:t>
      </w:r>
      <w:r w:rsidR="00E33B17" w:rsidRPr="005056AC">
        <w:t>Est-ce que tu penses que tu manques de de standards d'interopérabilité dans le secteur forestier ?</w:t>
      </w:r>
    </w:p>
    <w:p w14:paraId="74003FC4" w14:textId="14BFAB43" w:rsidR="00E13BA8" w:rsidRPr="005056AC" w:rsidRDefault="005056AC" w:rsidP="005056AC">
      <w:pPr>
        <w:pStyle w:val="Quote"/>
      </w:pPr>
      <w:r w:rsidRPr="00CC58E6">
        <w:rPr>
          <w:i w:val="0"/>
          <w:iCs w:val="0"/>
        </w:rPr>
        <w:t>[VNPGGT]</w:t>
      </w:r>
      <w:r w:rsidRPr="005056AC">
        <w:t xml:space="preserve"> </w:t>
      </w:r>
      <w:r w:rsidR="00E33B17" w:rsidRPr="005056AC">
        <w:t xml:space="preserve">Oui, il en manque effectivement beaucoup. </w:t>
      </w:r>
      <w:r w:rsidR="00E33B17" w:rsidRPr="00013BE2">
        <w:rPr>
          <w:i w:val="0"/>
          <w:iCs w:val="0"/>
        </w:rPr>
        <w:t>[…]</w:t>
      </w:r>
      <w:r w:rsidR="00E33B17" w:rsidRPr="005056AC">
        <w:t xml:space="preserve"> Selon moi, tout devrait s'en aller vers le cloud et le web. </w:t>
      </w:r>
      <w:r w:rsidR="00E33B17" w:rsidRPr="00013BE2">
        <w:rPr>
          <w:i w:val="0"/>
          <w:iCs w:val="0"/>
        </w:rPr>
        <w:t>[…]</w:t>
      </w:r>
      <w:r w:rsidR="00013BE2">
        <w:t xml:space="preserve"> S</w:t>
      </w:r>
      <w:r w:rsidR="00E33B17" w:rsidRPr="005056AC">
        <w:t>i tous les acteurs avaient des services web, des connexions internet, de base de données, on serait capable de tran</w:t>
      </w:r>
      <w:r w:rsidR="00013BE2">
        <w:t>sférer</w:t>
      </w:r>
      <w:r w:rsidR="00E33B17" w:rsidRPr="005056AC">
        <w:t xml:space="preserve"> beaucoup plus facilement l'information.</w:t>
      </w:r>
    </w:p>
    <w:p w14:paraId="1E180F1A" w14:textId="74D26483" w:rsidR="00E13BA8" w:rsidRPr="005056AC" w:rsidRDefault="005056AC" w:rsidP="005056AC">
      <w:pPr>
        <w:pStyle w:val="Quote"/>
      </w:pPr>
      <w:r w:rsidRPr="00013BE2">
        <w:rPr>
          <w:i w:val="0"/>
          <w:iCs w:val="0"/>
        </w:rPr>
        <w:t>[Chercheur]</w:t>
      </w:r>
      <w:r w:rsidRPr="005056AC">
        <w:t xml:space="preserve"> </w:t>
      </w:r>
      <w:r w:rsidR="00E33B17" w:rsidRPr="005056AC">
        <w:t>Et qui devrait émettre ces standards, ce protocole de transfert de données ?</w:t>
      </w:r>
    </w:p>
    <w:p w14:paraId="5A7E0206" w14:textId="079C0705" w:rsidR="00E33B17" w:rsidRPr="005056AC" w:rsidRDefault="005056AC" w:rsidP="005056AC">
      <w:pPr>
        <w:pStyle w:val="Quote"/>
      </w:pPr>
      <w:r w:rsidRPr="00013BE2">
        <w:rPr>
          <w:i w:val="0"/>
          <w:iCs w:val="0"/>
        </w:rPr>
        <w:t xml:space="preserve">[VNPGGT] </w:t>
      </w:r>
      <w:r w:rsidR="00E33B17" w:rsidRPr="005056AC">
        <w:t xml:space="preserve">J'aimerais te dire moi, mais… </w:t>
      </w:r>
      <w:r w:rsidR="00E33B17" w:rsidRPr="00013BE2">
        <w:rPr>
          <w:i w:val="0"/>
          <w:iCs w:val="0"/>
        </w:rPr>
        <w:t>[rires]</w:t>
      </w:r>
      <w:r w:rsidR="00013BE2">
        <w:rPr>
          <w:i w:val="0"/>
          <w:iCs w:val="0"/>
        </w:rPr>
        <w:t xml:space="preserve"> </w:t>
      </w:r>
      <w:r w:rsidR="00013BE2">
        <w:t>C’est sûr qu’i</w:t>
      </w:r>
      <w:r w:rsidR="00C44C2C" w:rsidRPr="005056AC">
        <w:t>l</w:t>
      </w:r>
      <w:r w:rsidR="00013BE2">
        <w:t xml:space="preserve"> y</w:t>
      </w:r>
      <w:r w:rsidR="00C44C2C" w:rsidRPr="005056AC">
        <w:t xml:space="preserve"> </w:t>
      </w:r>
      <w:r w:rsidR="00E33B17" w:rsidRPr="005056AC">
        <w:t xml:space="preserve">a plusieurs niveaux, mais généralement on va toujours être liés aux différents ministères </w:t>
      </w:r>
      <w:r w:rsidR="00C44C2C" w:rsidRPr="00013BE2">
        <w:rPr>
          <w:i w:val="0"/>
          <w:iCs w:val="0"/>
        </w:rPr>
        <w:t>[…]</w:t>
      </w:r>
      <w:r w:rsidR="00C44C2C" w:rsidRPr="005056AC">
        <w:t xml:space="preserve"> </w:t>
      </w:r>
      <w:r w:rsidR="00E33B17" w:rsidRPr="005056AC">
        <w:t>Ce serait à eux de mettre en place un protocole, mais toujours avec le l'appui de différents partenaires</w:t>
      </w:r>
      <w:r w:rsidR="00E33B17" w:rsidRPr="00013BE2">
        <w:rPr>
          <w:i w:val="0"/>
          <w:iCs w:val="0"/>
        </w:rPr>
        <w:t>.</w:t>
      </w:r>
      <w:r w:rsidR="00C44C2C" w:rsidRPr="00013BE2">
        <w:rPr>
          <w:i w:val="0"/>
          <w:iCs w:val="0"/>
        </w:rPr>
        <w:t> »</w:t>
      </w:r>
      <w:r w:rsidR="00565599">
        <w:rPr>
          <w:i w:val="0"/>
          <w:iCs w:val="0"/>
        </w:rPr>
        <w:t xml:space="preserve"> </w:t>
      </w:r>
      <w:r w:rsidR="00565599" w:rsidRPr="00565599">
        <w:rPr>
          <w:i w:val="0"/>
          <w:iCs w:val="0"/>
        </w:rPr>
        <w:t>VNPGGT</w:t>
      </w:r>
    </w:p>
    <w:p w14:paraId="7BC8BB2D" w14:textId="2D3135DA" w:rsidR="006C7364" w:rsidRDefault="006F5BD8" w:rsidP="005056AC">
      <w:r w:rsidRPr="005056AC">
        <w:t xml:space="preserve">À l’heure actuelle, aucun standard </w:t>
      </w:r>
      <w:r w:rsidR="009C72DA" w:rsidRPr="005056AC">
        <w:t>de référence n’est disponible</w:t>
      </w:r>
      <w:r w:rsidR="00107E2E" w:rsidRPr="005056AC">
        <w:t xml:space="preserve"> pour permettre aux</w:t>
      </w:r>
      <w:r w:rsidR="00107E2E">
        <w:t xml:space="preserve"> développeurs d’assurer une intégrabilité native de leurs applications respectives. L’interconnexion entre deux applications doit donc se faire au cas par cas, et reste dépendante des priorités stratégiques de chaque acteur en présence.</w:t>
      </w:r>
    </w:p>
    <w:p w14:paraId="330BE712" w14:textId="1B3373C7" w:rsidR="00764E55" w:rsidRDefault="00764E55" w:rsidP="00B374E6">
      <w:pPr>
        <w:pStyle w:val="Heading1"/>
      </w:pPr>
      <w:bookmarkStart w:id="15" w:name="_Toc115454555"/>
      <w:r>
        <w:t>Contributions</w:t>
      </w:r>
      <w:r w:rsidR="00F01435">
        <w:t xml:space="preserve"> </w:t>
      </w:r>
      <w:r w:rsidR="004B0FA0">
        <w:t>au Plan d’action favorisant un gouvernement ouvert</w:t>
      </w:r>
      <w:bookmarkEnd w:id="15"/>
    </w:p>
    <w:p w14:paraId="1762EB7B" w14:textId="7379AA3E" w:rsidR="0034796A" w:rsidRPr="00A323FF" w:rsidRDefault="00AC091F" w:rsidP="005056AC">
      <w:r>
        <w:t xml:space="preserve">Les </w:t>
      </w:r>
      <w:r w:rsidR="00647D03">
        <w:t>contributions sont de trois ordres</w:t>
      </w:r>
      <w:r w:rsidR="00562B1A">
        <w:t xml:space="preserve">. </w:t>
      </w:r>
      <w:r w:rsidR="003100EA">
        <w:t xml:space="preserve">Premièrement, cette étude empirique nous permet de vérifier et améliorer le modèle théorique proposé dans notre premier livrable, et de préciser les facteurs à prendre en compte lors de l’émergence d’un SIIO (section 5.1). </w:t>
      </w:r>
      <w:r w:rsidR="00B26DE0">
        <w:t xml:space="preserve">Deuxièmement, l’étude a confirmé le fait que </w:t>
      </w:r>
      <w:r w:rsidR="00025410">
        <w:t>si les facteurs d’influence peuvent être appréhendés de manière autonome, ils interagissent également entre eux.</w:t>
      </w:r>
      <w:r w:rsidR="00B619C9">
        <w:t xml:space="preserve"> Nous mettons en particulier l’accent sur la façon dont les facteurs relevant de l’action ministérielle influencent les autres facteurs de notre modèle</w:t>
      </w:r>
      <w:r w:rsidR="002E2F70">
        <w:t xml:space="preserve"> (section 5.2)</w:t>
      </w:r>
      <w:r w:rsidR="00B619C9">
        <w:t>. Troisièmement,</w:t>
      </w:r>
      <w:r w:rsidR="003100EA">
        <w:t xml:space="preserve"> </w:t>
      </w:r>
      <w:r w:rsidR="00783A18">
        <w:t xml:space="preserve">ces contributions d’ordre théorique et empirique nous permettent d’en déduire des contributions pour le </w:t>
      </w:r>
      <w:r w:rsidR="00527052">
        <w:t xml:space="preserve">Plan </w:t>
      </w:r>
      <w:r w:rsidR="00527052" w:rsidRPr="00527052">
        <w:t>d’action favorisant un gouvernement ouvert</w:t>
      </w:r>
      <w:r w:rsidR="00783A18">
        <w:t xml:space="preserve"> </w:t>
      </w:r>
      <w:r w:rsidR="00527052">
        <w:t>2023-2025</w:t>
      </w:r>
      <w:r w:rsidR="001E1573">
        <w:t xml:space="preserve"> (section 5.3)</w:t>
      </w:r>
      <w:r w:rsidR="00527052">
        <w:t>.</w:t>
      </w:r>
    </w:p>
    <w:p w14:paraId="5825C2D1" w14:textId="07434825" w:rsidR="008120DC" w:rsidRPr="00B9385C" w:rsidRDefault="001853E6" w:rsidP="00B9385C">
      <w:pPr>
        <w:pStyle w:val="Heading2"/>
      </w:pPr>
      <w:bookmarkStart w:id="16" w:name="_Toc115454556"/>
      <w:r w:rsidRPr="00B9385C">
        <w:t>Bonification du modèle</w:t>
      </w:r>
      <w:r w:rsidR="008120DC" w:rsidRPr="00B9385C">
        <w:t xml:space="preserve"> théorique</w:t>
      </w:r>
      <w:bookmarkEnd w:id="16"/>
    </w:p>
    <w:p w14:paraId="33485016" w14:textId="086611F0" w:rsidR="008120DC" w:rsidRDefault="00383180" w:rsidP="005056AC">
      <w:r>
        <w:t xml:space="preserve">Une bonification essentielle à notre modèle théorique a trait aux dimensions que nous avions identifiées. Pour rappel, le premier livrable se concentrait sur deux dimensions : une dimension contextuelle, et une dimension dispositionnelle. </w:t>
      </w:r>
      <w:r w:rsidR="00CE7868">
        <w:t>La dimension contextuelle comprenait</w:t>
      </w:r>
      <w:r w:rsidR="00312CB1">
        <w:t xml:space="preserve"> des facteurs ayant trait aux aspects techniques, tels que l’infrastructure technique (niveau national), </w:t>
      </w:r>
      <w:r w:rsidR="007D505C">
        <w:t>les standards de référence (niveau sectoriel), et la disposition structurelle au changement numérique (niveau organisationnel).</w:t>
      </w:r>
      <w:r w:rsidR="00D82A42">
        <w:t xml:space="preserve"> La dimension d</w:t>
      </w:r>
      <w:r w:rsidR="00976003">
        <w:t>ispositionnelle, quant à elle, ne mentionnait pas explicitement de facteur technologique.</w:t>
      </w:r>
    </w:p>
    <w:p w14:paraId="3FDCD13A" w14:textId="1B83BADE" w:rsidR="00B9385C" w:rsidRDefault="007D505C" w:rsidP="00B9385C">
      <w:r>
        <w:t xml:space="preserve">L’étude a révélé que </w:t>
      </w:r>
      <w:r w:rsidR="002106C2">
        <w:t xml:space="preserve">la technologie était difficilement </w:t>
      </w:r>
      <w:r w:rsidR="005C13F3">
        <w:t xml:space="preserve">attribuable à une dimension donnée. Par exemple, </w:t>
      </w:r>
      <w:r w:rsidR="00795553">
        <w:t>les OBV leaders ont</w:t>
      </w:r>
      <w:r w:rsidR="002E1718">
        <w:t xml:space="preserve"> </w:t>
      </w:r>
      <w:r w:rsidR="00795553">
        <w:t xml:space="preserve">établi des </w:t>
      </w:r>
      <w:r w:rsidR="002E1718">
        <w:t>standards</w:t>
      </w:r>
      <w:r w:rsidR="00795553">
        <w:t xml:space="preserve"> pour le SIIO </w:t>
      </w:r>
      <w:proofErr w:type="spellStart"/>
      <w:r w:rsidR="00795553">
        <w:t>Géofluence</w:t>
      </w:r>
      <w:proofErr w:type="spellEnd"/>
      <w:r w:rsidR="002E1718">
        <w:t>, à partir de standards internationaux</w:t>
      </w:r>
      <w:r w:rsidR="007D547A">
        <w:t>,</w:t>
      </w:r>
      <w:r w:rsidR="002E1718">
        <w:t xml:space="preserve"> de </w:t>
      </w:r>
      <w:r w:rsidR="007D547A">
        <w:t>spécifications utilisées</w:t>
      </w:r>
      <w:r w:rsidR="00516709">
        <w:t xml:space="preserve"> par les </w:t>
      </w:r>
      <w:r w:rsidR="007D547A">
        <w:t>directions ministérielles, et de pratiques organisationnelles</w:t>
      </w:r>
      <w:r w:rsidR="00516709">
        <w:t xml:space="preserve">. </w:t>
      </w:r>
      <w:r w:rsidR="00C20194">
        <w:t xml:space="preserve">Du côté du RESAM, la disponibilité </w:t>
      </w:r>
      <w:r w:rsidR="00795553">
        <w:t xml:space="preserve">de la couverture Internet </w:t>
      </w:r>
      <w:r w:rsidR="007A7C14">
        <w:t>dépend effectivement de la qualité des infrastructures nationales, mais s’exprime dans des contextes géographiques et organisationnels particuliers.</w:t>
      </w:r>
      <w:r w:rsidR="00B9385C">
        <w:t xml:space="preserve"> </w:t>
      </w:r>
      <w:r w:rsidR="00FA4524">
        <w:t>Cette observation nous amène à proposer l’addition d’une troisième dimension à notre modèle : la dimension technologique</w:t>
      </w:r>
      <w:r w:rsidR="00B9385C">
        <w:t>.</w:t>
      </w:r>
      <w:r w:rsidR="008E0BF6">
        <w:t xml:space="preserve"> </w:t>
      </w:r>
      <w:r w:rsidR="00D83FB8">
        <w:t xml:space="preserve">Notre modèle rejoint ainsi le cadre technologie-organisation-environnement (TOE), communément utilisé par la littérature en innovation numérique </w:t>
      </w:r>
      <w:r w:rsidR="00D83FB8">
        <w:fldChar w:fldCharType="begin"/>
      </w:r>
      <w:r w:rsidR="00D83FB8">
        <w:instrText xml:space="preserve"> ADDIN ZOTERO_ITEM CSL_CITATION {"citationID":"azjoCyHk","properties":{"formattedCitation":"(Baker, 2012)","plainCitation":"(Baker, 2012)","noteIndex":0},"citationItems":[{"id":4168,"uris":["http://zotero.org/users/5525364/items/JCT8JNPI"],"itemData":{"id":4168,"type":"chapter","abstract":"This chapter describes the Technology–Organization–Environment (TOE) framework. It begins by presenting a description of the TOE framework and its constructs. Next, a brief review of studies that have used the TOE framework is provided. In this review, an emphasis is placed on noting the type of innovation that is being adopted in each study. Also, the different ways in which the framework has been adapted for various adoption contexts are highlighted. Finally, directions for future research with the TOE framework are described. In spite of this framework’s stability since its initial development, many avenues for evolution and development appear promising.","collection-title":"Integrated Series in Information Systems","container-title":"Information Systems Theory: Explaining and Predicting Our Digital Society, Vol. 1","event-place":"New York, NY","ISBN":"978-1-4419-6108-2","language":"en","note":"DOI: 10.1007/978-1-4419-6108-2_12","page":"231-245","publisher":"Springer","publisher-place":"New York, NY","source":"Springer Link","title":"The Technology–Organization–Environment Framework","URL":"https://doi.org/10.1007/978-1-4419-6108-2_12","author":[{"family":"Baker","given":"Jeff"}],"editor":[{"family":"Dwivedi","given":"Yogesh K."},{"family":"Wade","given":"Michael R."},{"family":"Schneberger","given":"Scott L."}],"accessed":{"date-parts":[["2022",6,15]]},"issued":{"date-parts":[["2012"]]}}}],"schema":"https://github.com/citation-style-language/schema/raw/master/csl-citation.json"} </w:instrText>
      </w:r>
      <w:r w:rsidR="00D83FB8">
        <w:fldChar w:fldCharType="separate"/>
      </w:r>
      <w:r w:rsidR="00D83FB8" w:rsidRPr="00D83FB8">
        <w:rPr>
          <w:rFonts w:ascii="Calibri" w:hAnsi="Calibri" w:cs="Calibri"/>
        </w:rPr>
        <w:t>(Baker, 2012)</w:t>
      </w:r>
      <w:r w:rsidR="00D83FB8">
        <w:fldChar w:fldCharType="end"/>
      </w:r>
      <w:r w:rsidR="00D83FB8">
        <w:t>.</w:t>
      </w:r>
    </w:p>
    <w:p w14:paraId="6C542DB7" w14:textId="0A10C185" w:rsidR="005364DC" w:rsidRDefault="006C319E" w:rsidP="00B9385C">
      <w:pPr>
        <w:pStyle w:val="Heading2"/>
      </w:pPr>
      <w:bookmarkStart w:id="17" w:name="_Toc115454557"/>
      <w:r>
        <w:t>Élaborer un environnement favorable à l’émergence de SIIO</w:t>
      </w:r>
      <w:bookmarkEnd w:id="17"/>
    </w:p>
    <w:p w14:paraId="1EA5962F" w14:textId="04B68074" w:rsidR="00231C77" w:rsidRPr="0079060B" w:rsidRDefault="00D6798E" w:rsidP="005056AC">
      <w:r>
        <w:t>En cohérence avec les bonifications apportées à notre modèle théorique (section 5.1), nous distinguons trois dimensions de facteurs d’influence : contextuelle (</w:t>
      </w:r>
      <w:r w:rsidR="00AA1EA9">
        <w:t xml:space="preserve">section </w:t>
      </w:r>
      <w:r>
        <w:t>5.</w:t>
      </w:r>
      <w:r w:rsidR="00DD7E97">
        <w:t>2.1</w:t>
      </w:r>
      <w:r>
        <w:t>), dispositionnelle (</w:t>
      </w:r>
      <w:r w:rsidR="00AA1EA9">
        <w:t xml:space="preserve">section </w:t>
      </w:r>
      <w:r>
        <w:t>5.2.2), et technologique (</w:t>
      </w:r>
      <w:r w:rsidR="00AA1EA9">
        <w:t xml:space="preserve">section </w:t>
      </w:r>
      <w:r>
        <w:t>5.2.3).</w:t>
      </w:r>
    </w:p>
    <w:p w14:paraId="05851388" w14:textId="2F549D93" w:rsidR="00231C77" w:rsidRPr="00B374E6" w:rsidRDefault="0051323F" w:rsidP="005B7F57">
      <w:pPr>
        <w:pStyle w:val="Heading3"/>
      </w:pPr>
      <w:r w:rsidRPr="00B374E6">
        <w:t>Un contexte d’action favorable</w:t>
      </w:r>
    </w:p>
    <w:p w14:paraId="7B96B83F" w14:textId="77777777" w:rsidR="0016456F" w:rsidRDefault="00A278A0" w:rsidP="005056AC">
      <w:r>
        <w:t xml:space="preserve">Au niveau national, les facteurs relevés par </w:t>
      </w:r>
      <w:r w:rsidR="00E667A5">
        <w:t>notre étude se concentrent sur l’intervention gouvernementale.</w:t>
      </w:r>
      <w:r w:rsidR="0016456F">
        <w:t xml:space="preserve"> </w:t>
      </w:r>
    </w:p>
    <w:p w14:paraId="2D7BF4CA" w14:textId="52B4C958" w:rsidR="00397D91" w:rsidRDefault="00636B62" w:rsidP="005056AC">
      <w:r>
        <w:t>Dans nos cas d’étude, les</w:t>
      </w:r>
      <w:r w:rsidR="001C59D5">
        <w:t xml:space="preserve"> SIIO se sont constitués autour </w:t>
      </w:r>
      <w:r w:rsidR="00183AB3">
        <w:t>d’une volonté</w:t>
      </w:r>
      <w:r>
        <w:t xml:space="preserve"> </w:t>
      </w:r>
      <w:r w:rsidR="00183AB3">
        <w:t xml:space="preserve">et d’un besoin de la part des écosystèmes de renforcer l’échange de données (ouvertes et non-ouvertes) entre acteurs de l’écosystème, mais aussi </w:t>
      </w:r>
      <w:r w:rsidR="00183AB3" w:rsidRPr="00183AB3">
        <w:rPr>
          <w:i/>
          <w:iCs/>
        </w:rPr>
        <w:t>in fine</w:t>
      </w:r>
      <w:r w:rsidR="00183AB3">
        <w:t xml:space="preserve"> avec les directions ministérielles de référence.</w:t>
      </w:r>
      <w:r w:rsidR="0016456F">
        <w:t xml:space="preserve"> Les acteurs de l’écosystème</w:t>
      </w:r>
      <w:r w:rsidR="008E0089">
        <w:t xml:space="preserve"> collaborent</w:t>
      </w:r>
      <w:r w:rsidR="0016456F">
        <w:t xml:space="preserve"> typiquement</w:t>
      </w:r>
      <w:r w:rsidR="009837C2">
        <w:t xml:space="preserve"> avec</w:t>
      </w:r>
      <w:r w:rsidR="003B19F8">
        <w:t xml:space="preserve"> une pluralité d’acteurs </w:t>
      </w:r>
      <w:r w:rsidR="00DA70FB">
        <w:t>publics</w:t>
      </w:r>
      <w:r w:rsidR="003B19F8">
        <w:t xml:space="preserve"> : </w:t>
      </w:r>
      <w:r w:rsidR="00DA70FB">
        <w:t>plusieurs</w:t>
      </w:r>
      <w:r w:rsidR="003B19F8">
        <w:t xml:space="preserve"> directions au sein d’un ministère, </w:t>
      </w:r>
      <w:r w:rsidR="00DA70FB">
        <w:t>plusieurs</w:t>
      </w:r>
      <w:r w:rsidR="003B19F8">
        <w:t xml:space="preserve"> ministères, voire</w:t>
      </w:r>
      <w:r w:rsidR="00DA70FB">
        <w:t xml:space="preserve"> plusieurs types d’acteurs</w:t>
      </w:r>
      <w:r w:rsidR="00E81912">
        <w:t xml:space="preserve"> publics</w:t>
      </w:r>
      <w:r w:rsidR="00DA70FB">
        <w:t xml:space="preserve"> (ministères, MRC, municipalités…)</w:t>
      </w:r>
      <w:r w:rsidR="00E81912">
        <w:t xml:space="preserve"> et privés (OBNL, </w:t>
      </w:r>
      <w:r w:rsidR="00F85E81">
        <w:t xml:space="preserve">entreprises…). La pluralité d’acteurs peut se traduire en certaines incohérences, notamment au niveau des standards utilisés : par exemple, chaque direction ministérielle peut avoir ses propres </w:t>
      </w:r>
      <w:r w:rsidR="009E3783">
        <w:t>exigences quant à la transmission de données.</w:t>
      </w:r>
    </w:p>
    <w:p w14:paraId="2882ADC4" w14:textId="340A1ED4" w:rsidR="000E65B0" w:rsidRDefault="002706A0" w:rsidP="005056AC">
      <w:r>
        <w:t xml:space="preserve">Notre étude permet d’insister sur </w:t>
      </w:r>
      <w:r w:rsidR="000E65B0">
        <w:t>le fait que l’émergence d’un SIIO paraît être fortement impactée par la</w:t>
      </w:r>
      <w:r>
        <w:t xml:space="preserve"> cohérence de l’action publique</w:t>
      </w:r>
      <w:r w:rsidR="008E0089">
        <w:t>.</w:t>
      </w:r>
      <w:r>
        <w:t xml:space="preserve"> </w:t>
      </w:r>
      <w:r w:rsidR="00375E80">
        <w:t>Pour les</w:t>
      </w:r>
      <w:r w:rsidR="00303018">
        <w:t xml:space="preserve"> méta-organisations</w:t>
      </w:r>
      <w:r w:rsidR="00375E80">
        <w:t xml:space="preserve"> tout d’abord</w:t>
      </w:r>
      <w:r w:rsidR="00303018">
        <w:t xml:space="preserve">, dont le rôle consiste à </w:t>
      </w:r>
      <w:r w:rsidR="00375E80">
        <w:t xml:space="preserve">être des intermédiaires entre les institutions publiques et les organisations, une action publique cohérente </w:t>
      </w:r>
      <w:r w:rsidR="00D526FC">
        <w:t>leur</w:t>
      </w:r>
      <w:r w:rsidR="00375E80">
        <w:t xml:space="preserve"> permet d</w:t>
      </w:r>
      <w:r w:rsidR="00D526FC">
        <w:t xml:space="preserve">’obtenir la visibilité </w:t>
      </w:r>
      <w:r w:rsidR="001459EF">
        <w:t>de long terme</w:t>
      </w:r>
      <w:r w:rsidR="00D526FC">
        <w:t xml:space="preserve">, nécessaire pour mobiliser ses membres autour d’un projet de changement. Pour </w:t>
      </w:r>
      <w:r w:rsidR="001459EF">
        <w:t xml:space="preserve">les leaders de SIIO, </w:t>
      </w:r>
      <w:r w:rsidR="006652FD">
        <w:t>la cohérence de l’action publique est nécessaire afin d’opérer des choix techniques qui soient assez stables pour être durablement adoptés et implémentés par leurs partenaires</w:t>
      </w:r>
      <w:r w:rsidR="00A65306">
        <w:t xml:space="preserve">, et ainsi de réduire les coûts de développement et d’amélioration. Pour les organisations de terrain enfin, </w:t>
      </w:r>
      <w:r w:rsidR="000F3650">
        <w:t xml:space="preserve">savoir qu’un SIIO a été élaboré autour d’une stratégie gouvernementale clairement identifiée </w:t>
      </w:r>
      <w:r w:rsidR="005D066A">
        <w:t>permet de rassurer les gestionnaires quant au fait que les investissements nécessaires pour l’adoption de l’outil seront amortis par un gain d’efficacité sur le long terme.</w:t>
      </w:r>
    </w:p>
    <w:p w14:paraId="3E8120F2" w14:textId="1C4DE66B" w:rsidR="005364DC" w:rsidRDefault="00B374E6" w:rsidP="005B7F57">
      <w:pPr>
        <w:pStyle w:val="Heading3"/>
      </w:pPr>
      <w:r>
        <w:t>Une structure méta-organisationnelle favorable</w:t>
      </w:r>
    </w:p>
    <w:p w14:paraId="2A834A45" w14:textId="5483DB3B" w:rsidR="00C825FA" w:rsidRDefault="002978C4" w:rsidP="005056AC">
      <w:r>
        <w:t>Notre étude a révélé que l</w:t>
      </w:r>
      <w:r w:rsidR="006026B3">
        <w:t>a méta-organisation a elle-même besoin de ressources</w:t>
      </w:r>
      <w:r w:rsidR="009D4C7E">
        <w:t xml:space="preserve"> </w:t>
      </w:r>
      <w:r w:rsidR="006026B3">
        <w:t xml:space="preserve">pour être en mesure de soutenir adéquatement l’émergence d’un SIIO. </w:t>
      </w:r>
      <w:r w:rsidR="009D4C7E">
        <w:t>La méta-organisation peut notamment se doter de compétences et expertises en interne, lui permettant de créer un cadre de coordination et de mobilisation pour ses membres intéressés à être activement parties prenantes à l’émergence d’un SIIO.</w:t>
      </w:r>
    </w:p>
    <w:p w14:paraId="617E37BB" w14:textId="626640CF" w:rsidR="009D4C7E" w:rsidRDefault="00FF6B43" w:rsidP="005056AC">
      <w:r>
        <w:t>L</w:t>
      </w:r>
      <w:r w:rsidR="00814F64">
        <w:t xml:space="preserve">es cas d’études montrent la diversité des possibilités pour les ministères </w:t>
      </w:r>
      <w:r w:rsidR="001A233B">
        <w:t>de soutenir les méta-organisations dans</w:t>
      </w:r>
      <w:r w:rsidR="00814F64">
        <w:t xml:space="preserve"> l’acquisition de ces ressources. </w:t>
      </w:r>
      <w:r w:rsidR="00381C29">
        <w:t>Une approche souple consiste à créer et animer des cadres de coordination</w:t>
      </w:r>
      <w:r w:rsidR="001751CD">
        <w:t xml:space="preserve"> sectoriels, au sein desquels la capacité des méta-organisations à abonder les réflexions de données du terrain est encouragée et valorisée</w:t>
      </w:r>
      <w:r w:rsidR="00DD7E97">
        <w:t> : le Forum d’action sur l’eau</w:t>
      </w:r>
      <w:r w:rsidR="00A62125">
        <w:t xml:space="preserve"> en est un exemple</w:t>
      </w:r>
      <w:r w:rsidR="001751CD">
        <w:t xml:space="preserve">. </w:t>
      </w:r>
      <w:r w:rsidR="008E1DD5">
        <w:t xml:space="preserve">Les ministères peuvent également intervenir de manière plus </w:t>
      </w:r>
      <w:r w:rsidR="002C1E6D">
        <w:t>proactive</w:t>
      </w:r>
      <w:r w:rsidR="008E1DD5">
        <w:t>, en contribuant à la définition et à l’émergence du SIIO à travers</w:t>
      </w:r>
      <w:r w:rsidR="002C1E6D">
        <w:t xml:space="preserve"> la définition d’un cahier des charges et la mise à disposition de financements. Enfin, </w:t>
      </w:r>
      <w:r w:rsidR="00E159B4">
        <w:t>un ministère peut mettre sur pieds une politique globale visant à équiper directement la méta-organisation et les acteurs de terrain de ressources, contribuant ainsi à stimuler l’émergence d’initiatives en numérisation, et résultant en un (ou plusieurs) projet(s) de SIIO.</w:t>
      </w:r>
      <w:r w:rsidR="00B81D44">
        <w:t xml:space="preserve"> Ce type d’action a été </w:t>
      </w:r>
      <w:r w:rsidR="00713ED1">
        <w:t>expérimenté dans le secteur culturel, avec la mise sur pieds du RADN.</w:t>
      </w:r>
    </w:p>
    <w:p w14:paraId="76FD0A19" w14:textId="4882F386" w:rsidR="00231C77" w:rsidRDefault="00B374E6" w:rsidP="005B7F57">
      <w:pPr>
        <w:pStyle w:val="Heading3"/>
      </w:pPr>
      <w:r>
        <w:t>Un environnement technologique favorable</w:t>
      </w:r>
    </w:p>
    <w:p w14:paraId="023E1137" w14:textId="43C2260C" w:rsidR="00E27CEE" w:rsidRDefault="002354FF" w:rsidP="005056AC">
      <w:r>
        <w:t xml:space="preserve">Notre étude a révélé le fait que l’émergence de SIIO était encore contrainte par </w:t>
      </w:r>
      <w:r w:rsidR="00EC6D42">
        <w:t xml:space="preserve">certains besoins au niveau de l’infrastructure </w:t>
      </w:r>
      <w:r w:rsidR="009222E4">
        <w:t>technique</w:t>
      </w:r>
      <w:r w:rsidR="00EC6D42">
        <w:t>.</w:t>
      </w:r>
    </w:p>
    <w:p w14:paraId="2442BA5C" w14:textId="7561B911" w:rsidR="00585A9A" w:rsidRDefault="00585A9A" w:rsidP="005056AC">
      <w:r>
        <w:t xml:space="preserve">Le besoin primaire se situe au niveau d’une couverture réseau suffisamment étendue et performante pour permettre aux acteurs de terrain de pouvoir </w:t>
      </w:r>
      <w:r w:rsidR="00057EBF">
        <w:t>bénéficier et contribuer efficacement au SIIO. Ce défi s’est notamment exprimé dans les cas de zones rurales et forestières éloignées des grands centres urbains.</w:t>
      </w:r>
    </w:p>
    <w:p w14:paraId="793E6C2B" w14:textId="19D4F867" w:rsidR="00453301" w:rsidRDefault="009222E4" w:rsidP="005056AC">
      <w:r>
        <w:t>Un autre niveau de besoin se situe au niveau des standards</w:t>
      </w:r>
      <w:r w:rsidR="0098177F">
        <w:t xml:space="preserve"> techniques </w:t>
      </w:r>
      <w:r w:rsidR="00A84CF9">
        <w:t>et sémantiques. Les SIIO étudiés ont émergé à partir d</w:t>
      </w:r>
      <w:r w:rsidR="00BF3554">
        <w:t xml:space="preserve">es besoins rencontrés par les acteurs de terrain, autour de problématiques spécifiques, et à partir de ressources disponibles dans leur environnement direct. </w:t>
      </w:r>
      <w:r w:rsidR="00361BCD">
        <w:t xml:space="preserve">Bien que les leaders de SIIO aient à cœur </w:t>
      </w:r>
      <w:r w:rsidR="000124B5">
        <w:t>d’implémenter les standards internationaux, de nombreux choix sont encore effectués au niveau local, que ce soit au niveau de</w:t>
      </w:r>
      <w:r w:rsidR="00BF3554">
        <w:t>s protocoles d’échanges de données (standards techniques</w:t>
      </w:r>
      <w:r w:rsidR="000124B5">
        <w:t>) que des champs utilisés au sein</w:t>
      </w:r>
      <w:r w:rsidR="00BF3554">
        <w:t xml:space="preserve"> des bases de données (standards sémantiques)</w:t>
      </w:r>
      <w:r w:rsidR="000124B5">
        <w:t>.</w:t>
      </w:r>
      <w:r w:rsidR="00453301">
        <w:t xml:space="preserve"> Par conséquent, les SIIO constituent de nouveaux silos pensés autour d’un cas d’usage, mais difficilement interconnectables entre eux.</w:t>
      </w:r>
    </w:p>
    <w:p w14:paraId="6D519148" w14:textId="2369712B" w:rsidR="008C2847" w:rsidRDefault="008C2847" w:rsidP="005056AC">
      <w:r>
        <w:t xml:space="preserve">La définition de standards techniques et sémantiques au niveau </w:t>
      </w:r>
      <w:r w:rsidR="007731CB">
        <w:t xml:space="preserve">des ministères permettrait aux méta-organisations de disposer d’une infrastructure technique </w:t>
      </w:r>
      <w:r w:rsidR="00623D44">
        <w:t>précieuse, réduisant nombre d’incertitudes de nature technique entourant la création d’un SIIO. Notamment</w:t>
      </w:r>
      <w:r w:rsidR="003D7FFB">
        <w:t xml:space="preserve">, la définition de standards d’interopérabilité communs rassurerait les méta-organisations comme leurs membres sur le fait que les données produites dans un contexte demeureraient exploitables pour l’ensemble des </w:t>
      </w:r>
      <w:r w:rsidR="00F100F2">
        <w:t xml:space="preserve">cas d’usages qui pourraient </w:t>
      </w:r>
      <w:r w:rsidR="00877007">
        <w:t>émerger</w:t>
      </w:r>
      <w:r w:rsidR="00F100F2">
        <w:t>.</w:t>
      </w:r>
    </w:p>
    <w:p w14:paraId="142C7E1F" w14:textId="081A56BB" w:rsidR="005F7A23" w:rsidRPr="00B374E6" w:rsidRDefault="00EF31F5" w:rsidP="00B374E6">
      <w:pPr>
        <w:pStyle w:val="Heading1"/>
      </w:pPr>
      <w:bookmarkStart w:id="18" w:name="_Toc115454558"/>
      <w:r w:rsidRPr="00B374E6">
        <w:t>Conclusion</w:t>
      </w:r>
      <w:bookmarkEnd w:id="18"/>
    </w:p>
    <w:p w14:paraId="12179799" w14:textId="4DF563A9" w:rsidR="0059374B" w:rsidRDefault="0025307E" w:rsidP="00B374E6">
      <w:pPr>
        <w:keepNext/>
        <w:keepLines/>
      </w:pPr>
      <w:r>
        <w:t>Notre recherche</w:t>
      </w:r>
      <w:r w:rsidR="00B40306">
        <w:t xml:space="preserve"> empirique</w:t>
      </w:r>
      <w:r w:rsidR="0059374B">
        <w:t xml:space="preserve"> s’est concentrée sur l’identification des facteurs qui composent la disposition des méta-organisations à être leaders de transformation numérique pour leur écosystème, à travers l’adoption de systèmes d’information inter-organisationnels (SIIO). </w:t>
      </w:r>
    </w:p>
    <w:p w14:paraId="263FBA31" w14:textId="77777777" w:rsidR="00330677" w:rsidRDefault="0059374B" w:rsidP="0025307E">
      <w:r>
        <w:t>Nous avons</w:t>
      </w:r>
      <w:r w:rsidR="00B40306">
        <w:t xml:space="preserve"> tout d’abord</w:t>
      </w:r>
      <w:r>
        <w:t xml:space="preserve"> identifié les atouts que ces méta-organisations représentent pour leurs membres et pour les ministères afin de contribuer à l’émergence et à la pérennisation de SIIO</w:t>
      </w:r>
      <w:r w:rsidR="00B40306">
        <w:t xml:space="preserve">, avant de nous intéresser aux conditions favorables à l’activation de ces atouts (disposition des méta-organisations au changement). Plus particulièrement, </w:t>
      </w:r>
      <w:r w:rsidR="00683C39">
        <w:t>les méta-organisations sont influencées par leur structure interne (facteurs dispositionnels), leur environnement externe (facteurs contextuels), et les caractéristiques des technologies sur lesquelles se reposent les SIIO.</w:t>
      </w:r>
      <w:r w:rsidR="00330677">
        <w:t xml:space="preserve"> </w:t>
      </w:r>
      <w:r w:rsidR="001B0A88">
        <w:t xml:space="preserve">Cette étude nous a enfin permis d’identifier des actions gouvernementales permettant d’influencer ces différents facteurs, et ainsi de contribuer à </w:t>
      </w:r>
      <w:r w:rsidR="002365B8">
        <w:t>favoriser</w:t>
      </w:r>
      <w:r w:rsidR="001B0A88">
        <w:t xml:space="preserve"> la conduite de stratégies SIIO par les méta-organisations.</w:t>
      </w:r>
    </w:p>
    <w:p w14:paraId="0240C312" w14:textId="77777777" w:rsidR="0051323F" w:rsidRDefault="00CB4A25" w:rsidP="0025307E">
      <w:r>
        <w:t>Nos conclusions rejoignent le modèle de gouvernance</w:t>
      </w:r>
      <w:r w:rsidR="00330677">
        <w:t xml:space="preserve"> de service</w:t>
      </w:r>
      <w:r>
        <w:t xml:space="preserve"> publi</w:t>
      </w:r>
      <w:r w:rsidR="00330677">
        <w:t>c</w:t>
      </w:r>
      <w:r>
        <w:t xml:space="preserve"> intégrée telle que proposée par la Commission européenne (cf. figure</w:t>
      </w:r>
      <w:r w:rsidR="0051323F">
        <w:t xml:space="preserve"> 1</w:t>
      </w:r>
      <w:r>
        <w:t xml:space="preserve"> </w:t>
      </w:r>
      <w:r w:rsidR="0051323F">
        <w:t>c</w:t>
      </w:r>
      <w:r>
        <w:t>i-dessous)</w:t>
      </w:r>
      <w:r w:rsidR="0051323F">
        <w:t>.</w:t>
      </w:r>
      <w:r>
        <w:t xml:space="preserve"> </w:t>
      </w:r>
      <w:r w:rsidR="00330677">
        <w:t xml:space="preserve">Un environnement interopérable nécessite au niveau supérieur une action publique cohérente, tant dans sa réglementation que dans ses politiques de financement et d’attribution de marchés. L’environnement interopérable repose également sur des organisations capables de collaborer entre elles, en partageant une vision, une stratégie, des processus et des routines communes. </w:t>
      </w:r>
      <w:r w:rsidR="0051323F">
        <w:t xml:space="preserve">Les bases de données doivent également être alignées autour de standards sémantiques communs, afin d’assurer une comparabilité et une compréhension mutuelle des données. Enfin, la couche inférieure d’un environnement interopérable consiste en des spécifications techniques, assurant une compatibilité entre les systèmes d’information utilisés par les différents acteurs en présence. </w:t>
      </w:r>
    </w:p>
    <w:p w14:paraId="1D00B91B" w14:textId="686FB903" w:rsidR="004D4312" w:rsidRDefault="0051323F" w:rsidP="0025307E">
      <w:r>
        <w:t>Comme nous l’avons vu tout au long de cette étude,</w:t>
      </w:r>
      <w:r w:rsidR="00B9385C">
        <w:t xml:space="preserve"> lorsque les conditions d’une disposition au changement sont réunies, </w:t>
      </w:r>
      <w:r>
        <w:t xml:space="preserve">les méta-organisations </w:t>
      </w:r>
      <w:r w:rsidR="00B9385C">
        <w:t>peuvent offrir</w:t>
      </w:r>
      <w:r>
        <w:t xml:space="preserve"> des plateformes d</w:t>
      </w:r>
      <w:r w:rsidR="0062341B">
        <w:t>’expérimentation et d’apprentissage multi-acteurs</w:t>
      </w:r>
      <w:r w:rsidR="00B9385C">
        <w:t xml:space="preserve"> pertinentes pour </w:t>
      </w:r>
      <w:r w:rsidR="00B374E6">
        <w:t>conduire un projet de SIIO couvrant l’ensemble des dimensions d’un environnement interopérable</w:t>
      </w:r>
      <w:r w:rsidR="00B9385C">
        <w:t>.</w:t>
      </w:r>
    </w:p>
    <w:p w14:paraId="2B55A250" w14:textId="042F6D21" w:rsidR="00A323FF" w:rsidRDefault="00A323FF" w:rsidP="0051323F">
      <w:pPr>
        <w:jc w:val="center"/>
      </w:pPr>
      <w:r>
        <w:rPr>
          <w:noProof/>
        </w:rPr>
        <w:drawing>
          <wp:inline distT="0" distB="0" distL="0" distR="0" wp14:anchorId="3F11A820" wp14:editId="53CFF7CF">
            <wp:extent cx="4296627" cy="2613660"/>
            <wp:effectExtent l="0" t="0" r="8890" b="0"/>
            <wp:docPr id="8" name="Picture 8">
              <a:extLst xmlns:a="http://schemas.openxmlformats.org/drawingml/2006/main">
                <a:ext uri="{FF2B5EF4-FFF2-40B4-BE49-F238E27FC236}">
                  <a16:creationId xmlns:a16="http://schemas.microsoft.com/office/drawing/2014/main" id="{10A42684-577A-B077-0F02-048BA14C0D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10A42684-577A-B077-0F02-048BA14C0D15}"/>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297293" cy="2614065"/>
                    </a:xfrm>
                    <a:prstGeom prst="rect">
                      <a:avLst/>
                    </a:prstGeom>
                  </pic:spPr>
                </pic:pic>
              </a:graphicData>
            </a:graphic>
          </wp:inline>
        </w:drawing>
      </w:r>
    </w:p>
    <w:p w14:paraId="2A7A46DC" w14:textId="24475E7E" w:rsidR="002B6A0F" w:rsidRDefault="0051323F" w:rsidP="0051323F">
      <w:pPr>
        <w:jc w:val="center"/>
        <w:rPr>
          <w:i/>
          <w:iCs/>
        </w:rPr>
      </w:pPr>
      <w:r w:rsidRPr="0051323F">
        <w:rPr>
          <w:i/>
          <w:iCs/>
        </w:rPr>
        <w:t>Figure 1 : Quatre dimensions d’un environnement interopérable</w:t>
      </w:r>
      <w:r w:rsidRPr="0051323F">
        <w:rPr>
          <w:i/>
          <w:iCs/>
        </w:rPr>
        <w:br/>
      </w:r>
      <w:r w:rsidRPr="0051323F">
        <w:rPr>
          <w:i/>
          <w:iCs/>
        </w:rPr>
        <w:fldChar w:fldCharType="begin"/>
      </w:r>
      <w:r w:rsidRPr="0051323F">
        <w:rPr>
          <w:i/>
          <w:iCs/>
        </w:rPr>
        <w:instrText xml:space="preserve"> ADDIN ZOTERO_ITEM CSL_CITATION {"citationID":"7vPaeLoP","properties":{"formattedCitation":"(Directorate General for Informatics, 2017)","plainCitation":"(Directorate General for Informatics, 2017)","noteIndex":0},"citationItems":[{"id":1300,"uris":["http://zotero.org/users/5525364/items/855KINYQ"],"itemData":{"id":1300,"type":"report","event-place":"LU","language":"eng","publisher":"European Commission","publisher-place":"LU","source":"DOI.org (CSL JSON)","title":"New European interoperability framework: promoting seamless services and data flows for European public administrations.","title-short":"New European interoperability framework","URL":"https://data.europa.eu/doi/10.2799/78681","author":[{"family":"Directorate General for Informatics","given":""}],"accessed":{"date-parts":[["2021",11,23]]},"issued":{"date-parts":[["2017"]]}}}],"schema":"https://github.com/citation-style-language/schema/raw/master/csl-citation.json"} </w:instrText>
      </w:r>
      <w:r w:rsidRPr="0051323F">
        <w:rPr>
          <w:i/>
          <w:iCs/>
        </w:rPr>
        <w:fldChar w:fldCharType="separate"/>
      </w:r>
      <w:r w:rsidRPr="0051323F">
        <w:rPr>
          <w:rFonts w:ascii="Calibri" w:hAnsi="Calibri" w:cs="Calibri"/>
          <w:i/>
          <w:iCs/>
        </w:rPr>
        <w:t>(Directorate General for Informatics, 2017)</w:t>
      </w:r>
      <w:r w:rsidRPr="0051323F">
        <w:rPr>
          <w:i/>
          <w:iCs/>
        </w:rPr>
        <w:fldChar w:fldCharType="end"/>
      </w:r>
      <w:r w:rsidRPr="0051323F">
        <w:rPr>
          <w:i/>
          <w:iCs/>
        </w:rPr>
        <w:t>.</w:t>
      </w:r>
    </w:p>
    <w:p w14:paraId="7F67FCC1" w14:textId="683C8A2C" w:rsidR="00862209" w:rsidRDefault="002B6A0F" w:rsidP="002B6A0F">
      <w:pPr>
        <w:pStyle w:val="Heading1"/>
      </w:pPr>
      <w:r>
        <w:rPr>
          <w:i/>
          <w:iCs/>
        </w:rPr>
        <w:br w:type="column"/>
      </w:r>
      <w:bookmarkStart w:id="19" w:name="_Toc115454559"/>
      <w:r w:rsidR="00D77DA2">
        <w:t>Références</w:t>
      </w:r>
      <w:bookmarkEnd w:id="19"/>
    </w:p>
    <w:p w14:paraId="02A5B72C" w14:textId="77777777" w:rsidR="00D83FB8" w:rsidRPr="00DD7E97" w:rsidRDefault="002B03FD" w:rsidP="002B6A0F">
      <w:pPr>
        <w:pStyle w:val="Bibliography"/>
        <w:spacing w:line="240" w:lineRule="auto"/>
        <w:rPr>
          <w:lang w:val="en-CA"/>
        </w:rPr>
      </w:pPr>
      <w:r>
        <w:fldChar w:fldCharType="begin"/>
      </w:r>
      <w:r w:rsidRPr="0025307E">
        <w:rPr>
          <w:lang w:val="en-CA"/>
        </w:rPr>
        <w:instrText xml:space="preserve"> ADDIN ZOTERO_BIBL {"uncited":[],"omitted":[],"custom":[]} CSL_BIBLIOGRAPHY </w:instrText>
      </w:r>
      <w:r>
        <w:fldChar w:fldCharType="separate"/>
      </w:r>
      <w:r w:rsidR="00D83FB8" w:rsidRPr="00DD7E97">
        <w:rPr>
          <w:lang w:val="en-CA"/>
        </w:rPr>
        <w:t xml:space="preserve">Ahrne, G., &amp; Brunsson, N. (2005). Organizations and meta-organizations. </w:t>
      </w:r>
      <w:r w:rsidR="00D83FB8" w:rsidRPr="00DD7E97">
        <w:rPr>
          <w:i/>
          <w:iCs/>
          <w:lang w:val="en-CA"/>
        </w:rPr>
        <w:t>Scandinavian Journal of Management</w:t>
      </w:r>
      <w:r w:rsidR="00D83FB8" w:rsidRPr="00DD7E97">
        <w:rPr>
          <w:lang w:val="en-CA"/>
        </w:rPr>
        <w:t xml:space="preserve">, </w:t>
      </w:r>
      <w:r w:rsidR="00D83FB8" w:rsidRPr="00DD7E97">
        <w:rPr>
          <w:i/>
          <w:iCs/>
          <w:lang w:val="en-CA"/>
        </w:rPr>
        <w:t>21</w:t>
      </w:r>
      <w:r w:rsidR="00D83FB8" w:rsidRPr="00DD7E97">
        <w:rPr>
          <w:lang w:val="en-CA"/>
        </w:rPr>
        <w:t>(4), 429</w:t>
      </w:r>
      <w:r w:rsidR="00D83FB8" w:rsidRPr="00DD7E97">
        <w:rPr>
          <w:rFonts w:ascii="Cambria Math" w:hAnsi="Cambria Math" w:cs="Cambria Math"/>
          <w:lang w:val="en-CA"/>
        </w:rPr>
        <w:t>‑</w:t>
      </w:r>
      <w:r w:rsidR="00D83FB8" w:rsidRPr="00DD7E97">
        <w:rPr>
          <w:lang w:val="en-CA"/>
        </w:rPr>
        <w:t>449. https://doi.org/10.1016/j.scaman.2005.09.005</w:t>
      </w:r>
    </w:p>
    <w:p w14:paraId="2A70C483" w14:textId="77777777" w:rsidR="00D83FB8" w:rsidRPr="00DD7E97" w:rsidRDefault="00D83FB8" w:rsidP="002B6A0F">
      <w:pPr>
        <w:pStyle w:val="Bibliography"/>
        <w:spacing w:line="240" w:lineRule="auto"/>
        <w:rPr>
          <w:lang w:val="it-IT"/>
        </w:rPr>
      </w:pPr>
      <w:r w:rsidRPr="00DD7E97">
        <w:rPr>
          <w:lang w:val="en-CA"/>
        </w:rPr>
        <w:t xml:space="preserve">Baker, J. (2012). The Technology–Organization–Environment Framework. In Y. K. Dwivedi, M. R. Wade, &amp; S. L. Schneberger (Éds.), </w:t>
      </w:r>
      <w:r w:rsidRPr="00DD7E97">
        <w:rPr>
          <w:i/>
          <w:iCs/>
          <w:lang w:val="en-CA"/>
        </w:rPr>
        <w:t>Information Systems Theory : Explaining and Predicting Our Digital Society, Vol. 1</w:t>
      </w:r>
      <w:r w:rsidRPr="00DD7E97">
        <w:rPr>
          <w:lang w:val="en-CA"/>
        </w:rPr>
        <w:t xml:space="preserve"> (p. 231</w:t>
      </w:r>
      <w:r w:rsidRPr="00DD7E97">
        <w:rPr>
          <w:rFonts w:ascii="Cambria Math" w:hAnsi="Cambria Math" w:cs="Cambria Math"/>
          <w:lang w:val="en-CA"/>
        </w:rPr>
        <w:t>‑</w:t>
      </w:r>
      <w:r w:rsidRPr="00DD7E97">
        <w:rPr>
          <w:lang w:val="en-CA"/>
        </w:rPr>
        <w:t xml:space="preserve">245). </w:t>
      </w:r>
      <w:r w:rsidRPr="00DD7E97">
        <w:rPr>
          <w:lang w:val="it-IT"/>
        </w:rPr>
        <w:t>Springer. https://doi.org/10.1007/978-1-4419-6108-2_12</w:t>
      </w:r>
    </w:p>
    <w:p w14:paraId="432FB1E7" w14:textId="77777777" w:rsidR="00D83FB8" w:rsidRPr="00DD7E97" w:rsidRDefault="00D83FB8" w:rsidP="002B6A0F">
      <w:pPr>
        <w:pStyle w:val="Bibliography"/>
        <w:spacing w:line="240" w:lineRule="auto"/>
        <w:rPr>
          <w:lang w:val="en-CA"/>
        </w:rPr>
      </w:pPr>
      <w:r w:rsidRPr="00DD7E97">
        <w:rPr>
          <w:lang w:val="it-IT"/>
        </w:rPr>
        <w:t xml:space="preserve">Brunsson, N., Rasche, A., &amp; Seidl, D. (2012). </w:t>
      </w:r>
      <w:r w:rsidRPr="00DD7E97">
        <w:rPr>
          <w:lang w:val="en-CA"/>
        </w:rPr>
        <w:t xml:space="preserve">The Dynamics of Standardization : Three Perspectives on Standards in Organization Studies. </w:t>
      </w:r>
      <w:r w:rsidRPr="00DD7E97">
        <w:rPr>
          <w:i/>
          <w:iCs/>
          <w:lang w:val="en-CA"/>
        </w:rPr>
        <w:t>Organization Studies</w:t>
      </w:r>
      <w:r w:rsidRPr="00DD7E97">
        <w:rPr>
          <w:lang w:val="en-CA"/>
        </w:rPr>
        <w:t xml:space="preserve">, </w:t>
      </w:r>
      <w:r w:rsidRPr="00DD7E97">
        <w:rPr>
          <w:i/>
          <w:iCs/>
          <w:lang w:val="en-CA"/>
        </w:rPr>
        <w:t>33</w:t>
      </w:r>
      <w:r w:rsidRPr="00DD7E97">
        <w:rPr>
          <w:lang w:val="en-CA"/>
        </w:rPr>
        <w:t>(5</w:t>
      </w:r>
      <w:r w:rsidRPr="00DD7E97">
        <w:rPr>
          <w:rFonts w:ascii="Cambria Math" w:hAnsi="Cambria Math" w:cs="Cambria Math"/>
          <w:lang w:val="en-CA"/>
        </w:rPr>
        <w:t>‑</w:t>
      </w:r>
      <w:r w:rsidRPr="00DD7E97">
        <w:rPr>
          <w:lang w:val="en-CA"/>
        </w:rPr>
        <w:t>6), 613</w:t>
      </w:r>
      <w:r w:rsidRPr="00DD7E97">
        <w:rPr>
          <w:rFonts w:ascii="Cambria Math" w:hAnsi="Cambria Math" w:cs="Cambria Math"/>
          <w:lang w:val="en-CA"/>
        </w:rPr>
        <w:t>‑</w:t>
      </w:r>
      <w:r w:rsidRPr="00DD7E97">
        <w:rPr>
          <w:lang w:val="en-CA"/>
        </w:rPr>
        <w:t>632. https://doi.org/10.1177/0170840612450120</w:t>
      </w:r>
    </w:p>
    <w:p w14:paraId="17C8D35F" w14:textId="77777777" w:rsidR="00D83FB8" w:rsidRPr="00D83FB8" w:rsidRDefault="00D83FB8" w:rsidP="002B6A0F">
      <w:pPr>
        <w:pStyle w:val="Bibliography"/>
        <w:spacing w:line="240" w:lineRule="auto"/>
      </w:pPr>
      <w:r w:rsidRPr="00DD7E97">
        <w:rPr>
          <w:lang w:val="en-CA"/>
        </w:rPr>
        <w:t xml:space="preserve">Directorate General for Informatics. (2017). </w:t>
      </w:r>
      <w:r w:rsidRPr="00DD7E97">
        <w:rPr>
          <w:i/>
          <w:iCs/>
          <w:lang w:val="en-CA"/>
        </w:rPr>
        <w:t>New European interoperability framework : Promoting seamless services and data flows for European public administrations.</w:t>
      </w:r>
      <w:r w:rsidRPr="00DD7E97">
        <w:rPr>
          <w:lang w:val="en-CA"/>
        </w:rPr>
        <w:t xml:space="preserve"> </w:t>
      </w:r>
      <w:r w:rsidRPr="00D83FB8">
        <w:t>European Commission. https://data.europa.eu/doi/10.2799/78681</w:t>
      </w:r>
    </w:p>
    <w:p w14:paraId="0E619EEF" w14:textId="77777777" w:rsidR="00D83FB8" w:rsidRPr="00D83FB8" w:rsidRDefault="00D83FB8" w:rsidP="002B6A0F">
      <w:pPr>
        <w:pStyle w:val="Bibliography"/>
        <w:spacing w:line="240" w:lineRule="auto"/>
      </w:pPr>
      <w:r w:rsidRPr="00D83FB8">
        <w:t xml:space="preserve">Guedri, Z., Hussler, C., &amp; Loubaresse, É. (2014). Contradictions, paradoxes et tensions en contexte(s). </w:t>
      </w:r>
      <w:r w:rsidRPr="00D83FB8">
        <w:rPr>
          <w:i/>
          <w:iCs/>
        </w:rPr>
        <w:t>Revue française de gestion</w:t>
      </w:r>
      <w:r w:rsidRPr="00D83FB8">
        <w:t xml:space="preserve">, </w:t>
      </w:r>
      <w:r w:rsidRPr="00D83FB8">
        <w:rPr>
          <w:i/>
          <w:iCs/>
        </w:rPr>
        <w:t>240</w:t>
      </w:r>
      <w:r w:rsidRPr="00D83FB8">
        <w:t>(3), 13</w:t>
      </w:r>
      <w:r w:rsidRPr="00D83FB8">
        <w:rPr>
          <w:rFonts w:ascii="Cambria Math" w:hAnsi="Cambria Math" w:cs="Cambria Math"/>
        </w:rPr>
        <w:t>‑</w:t>
      </w:r>
      <w:r w:rsidRPr="00D83FB8">
        <w:t>28.</w:t>
      </w:r>
    </w:p>
    <w:p w14:paraId="521AEBDF" w14:textId="77777777" w:rsidR="00D83FB8" w:rsidRPr="00DD7E97" w:rsidRDefault="00D83FB8" w:rsidP="002B6A0F">
      <w:pPr>
        <w:pStyle w:val="Bibliography"/>
        <w:spacing w:line="240" w:lineRule="auto"/>
        <w:rPr>
          <w:lang w:val="en-CA"/>
        </w:rPr>
      </w:pPr>
      <w:r w:rsidRPr="00D83FB8">
        <w:t xml:space="preserve">König, A., Schulte, M., &amp; Enders, A. (2012). </w:t>
      </w:r>
      <w:r w:rsidRPr="00DD7E97">
        <w:rPr>
          <w:lang w:val="en-CA"/>
        </w:rPr>
        <w:t xml:space="preserve">Inertia in response to non-paradigmatic change : The case of meta-organizations. </w:t>
      </w:r>
      <w:r w:rsidRPr="00DD7E97">
        <w:rPr>
          <w:i/>
          <w:iCs/>
          <w:lang w:val="en-CA"/>
        </w:rPr>
        <w:t>Research Policy</w:t>
      </w:r>
      <w:r w:rsidRPr="00DD7E97">
        <w:rPr>
          <w:lang w:val="en-CA"/>
        </w:rPr>
        <w:t xml:space="preserve">, </w:t>
      </w:r>
      <w:r w:rsidRPr="00DD7E97">
        <w:rPr>
          <w:i/>
          <w:iCs/>
          <w:lang w:val="en-CA"/>
        </w:rPr>
        <w:t>41</w:t>
      </w:r>
      <w:r w:rsidRPr="00DD7E97">
        <w:rPr>
          <w:lang w:val="en-CA"/>
        </w:rPr>
        <w:t>(8), 1325</w:t>
      </w:r>
      <w:r w:rsidRPr="00DD7E97">
        <w:rPr>
          <w:rFonts w:ascii="Cambria Math" w:hAnsi="Cambria Math" w:cs="Cambria Math"/>
          <w:lang w:val="en-CA"/>
        </w:rPr>
        <w:t>‑</w:t>
      </w:r>
      <w:r w:rsidRPr="00DD7E97">
        <w:rPr>
          <w:lang w:val="en-CA"/>
        </w:rPr>
        <w:t>1343. https://doi.org/10.1016/j.respol.2012.03.006</w:t>
      </w:r>
    </w:p>
    <w:p w14:paraId="6DD7BAED" w14:textId="77777777" w:rsidR="00D83FB8" w:rsidRPr="00DD7E97" w:rsidRDefault="00D83FB8" w:rsidP="002B6A0F">
      <w:pPr>
        <w:pStyle w:val="Bibliography"/>
        <w:spacing w:line="240" w:lineRule="auto"/>
        <w:rPr>
          <w:lang w:val="en-CA"/>
        </w:rPr>
      </w:pPr>
      <w:r w:rsidRPr="00DD7E97">
        <w:rPr>
          <w:lang w:val="en-CA"/>
        </w:rPr>
        <w:t xml:space="preserve">Kurnia, S., Parker, C., Ali, M., &amp; Reyner Karnali. (2019). The Impact of Multilevel Contextual Factors on IS Adoption at the Inter-organizational Level. </w:t>
      </w:r>
      <w:r w:rsidRPr="00DD7E97">
        <w:rPr>
          <w:i/>
          <w:iCs/>
          <w:lang w:val="en-CA"/>
        </w:rPr>
        <w:t>Communications of the Association for Information Systems</w:t>
      </w:r>
      <w:r w:rsidRPr="00DD7E97">
        <w:rPr>
          <w:lang w:val="en-CA"/>
        </w:rPr>
        <w:t xml:space="preserve">, </w:t>
      </w:r>
      <w:r w:rsidRPr="00DD7E97">
        <w:rPr>
          <w:i/>
          <w:iCs/>
          <w:lang w:val="en-CA"/>
        </w:rPr>
        <w:t>44</w:t>
      </w:r>
      <w:r w:rsidRPr="00DD7E97">
        <w:rPr>
          <w:lang w:val="en-CA"/>
        </w:rPr>
        <w:t>, 24. ABI/INFORM Collection. https://doi.org/10.17705/1CAIS.04424</w:t>
      </w:r>
    </w:p>
    <w:p w14:paraId="082B0C0A" w14:textId="77777777" w:rsidR="00D83FB8" w:rsidRPr="00DD7E97" w:rsidRDefault="00D83FB8" w:rsidP="002B6A0F">
      <w:pPr>
        <w:pStyle w:val="Bibliography"/>
        <w:spacing w:line="240" w:lineRule="auto"/>
        <w:rPr>
          <w:lang w:val="en-CA"/>
        </w:rPr>
      </w:pPr>
      <w:r w:rsidRPr="00DD7E97">
        <w:rPr>
          <w:lang w:val="en-CA"/>
        </w:rPr>
        <w:t xml:space="preserve">Orlikowski, W. J. (1996). Improvising Organizational Transformation Over Time : A Situated Change Perspective. </w:t>
      </w:r>
      <w:r w:rsidRPr="00DD7E97">
        <w:rPr>
          <w:i/>
          <w:iCs/>
          <w:lang w:val="en-CA"/>
        </w:rPr>
        <w:t>Information Systems Research</w:t>
      </w:r>
      <w:r w:rsidRPr="00DD7E97">
        <w:rPr>
          <w:lang w:val="en-CA"/>
        </w:rPr>
        <w:t xml:space="preserve">, </w:t>
      </w:r>
      <w:r w:rsidRPr="00DD7E97">
        <w:rPr>
          <w:i/>
          <w:iCs/>
          <w:lang w:val="en-CA"/>
        </w:rPr>
        <w:t>7</w:t>
      </w:r>
      <w:r w:rsidRPr="00DD7E97">
        <w:rPr>
          <w:lang w:val="en-CA"/>
        </w:rPr>
        <w:t>(1), 31.</w:t>
      </w:r>
    </w:p>
    <w:p w14:paraId="76798B82" w14:textId="77777777" w:rsidR="00D83FB8" w:rsidRPr="00DD7E97" w:rsidRDefault="00D83FB8" w:rsidP="002B6A0F">
      <w:pPr>
        <w:pStyle w:val="Bibliography"/>
        <w:spacing w:line="240" w:lineRule="auto"/>
        <w:rPr>
          <w:lang w:val="en-CA"/>
        </w:rPr>
      </w:pPr>
      <w:r w:rsidRPr="00DD7E97">
        <w:rPr>
          <w:lang w:val="en-CA"/>
        </w:rPr>
        <w:t xml:space="preserve">Reimers, K., Johnston, R. B., &amp; Klein, S. (2014). An empirical evaluation of existing IS change theories for the case of IOIS evolution. </w:t>
      </w:r>
      <w:r w:rsidRPr="00DD7E97">
        <w:rPr>
          <w:i/>
          <w:iCs/>
          <w:lang w:val="en-CA"/>
        </w:rPr>
        <w:t>European Journal of Information Systems</w:t>
      </w:r>
      <w:r w:rsidRPr="00DD7E97">
        <w:rPr>
          <w:lang w:val="en-CA"/>
        </w:rPr>
        <w:t xml:space="preserve">, </w:t>
      </w:r>
      <w:r w:rsidRPr="00DD7E97">
        <w:rPr>
          <w:i/>
          <w:iCs/>
          <w:lang w:val="en-CA"/>
        </w:rPr>
        <w:t>23</w:t>
      </w:r>
      <w:r w:rsidRPr="00DD7E97">
        <w:rPr>
          <w:lang w:val="en-CA"/>
        </w:rPr>
        <w:t>(4), 373</w:t>
      </w:r>
      <w:r w:rsidRPr="00DD7E97">
        <w:rPr>
          <w:rFonts w:ascii="Cambria Math" w:hAnsi="Cambria Math" w:cs="Cambria Math"/>
          <w:lang w:val="en-CA"/>
        </w:rPr>
        <w:t>‑</w:t>
      </w:r>
      <w:r w:rsidRPr="00DD7E97">
        <w:rPr>
          <w:lang w:val="en-CA"/>
        </w:rPr>
        <w:t>399. https://doi.org/10.1057/ejis.2013.7</w:t>
      </w:r>
    </w:p>
    <w:p w14:paraId="2FE9FD0D" w14:textId="77777777" w:rsidR="00D83FB8" w:rsidRPr="00DD7E97" w:rsidRDefault="00D83FB8" w:rsidP="002B6A0F">
      <w:pPr>
        <w:pStyle w:val="Bibliography"/>
        <w:spacing w:line="240" w:lineRule="auto"/>
        <w:rPr>
          <w:lang w:val="en-CA"/>
        </w:rPr>
      </w:pPr>
      <w:r w:rsidRPr="00DD7E97">
        <w:rPr>
          <w:lang w:val="en-CA"/>
        </w:rPr>
        <w:t xml:space="preserve">Robey, D., Im, G., &amp; Wareham, J. D. (2008). Theoretical Foundations of Empirical Research on Interorganizational Systems : Assessing Past Contributions and Guiding Future Directions. </w:t>
      </w:r>
      <w:r w:rsidRPr="00DD7E97">
        <w:rPr>
          <w:i/>
          <w:iCs/>
          <w:lang w:val="en-CA"/>
        </w:rPr>
        <w:t>Journal of the Association for Information Systems</w:t>
      </w:r>
      <w:r w:rsidRPr="00DD7E97">
        <w:rPr>
          <w:lang w:val="en-CA"/>
        </w:rPr>
        <w:t xml:space="preserve">, </w:t>
      </w:r>
      <w:r w:rsidRPr="00DD7E97">
        <w:rPr>
          <w:i/>
          <w:iCs/>
          <w:lang w:val="en-CA"/>
        </w:rPr>
        <w:t>9</w:t>
      </w:r>
      <w:r w:rsidRPr="00DD7E97">
        <w:rPr>
          <w:lang w:val="en-CA"/>
        </w:rPr>
        <w:t>(9), 497</w:t>
      </w:r>
      <w:r w:rsidRPr="00DD7E97">
        <w:rPr>
          <w:rFonts w:ascii="Cambria Math" w:hAnsi="Cambria Math" w:cs="Cambria Math"/>
          <w:lang w:val="en-CA"/>
        </w:rPr>
        <w:t>‑</w:t>
      </w:r>
      <w:r w:rsidRPr="00DD7E97">
        <w:rPr>
          <w:lang w:val="en-CA"/>
        </w:rPr>
        <w:t>518. https://doi.org/10.17705/1jais.00171</w:t>
      </w:r>
    </w:p>
    <w:p w14:paraId="3E9DBB42" w14:textId="77777777" w:rsidR="00D83FB8" w:rsidRPr="00DD7E97" w:rsidRDefault="00D83FB8" w:rsidP="002B6A0F">
      <w:pPr>
        <w:pStyle w:val="Bibliography"/>
        <w:spacing w:line="240" w:lineRule="auto"/>
        <w:rPr>
          <w:lang w:val="en-CA"/>
        </w:rPr>
      </w:pPr>
      <w:r w:rsidRPr="00DD7E97">
        <w:rPr>
          <w:lang w:val="en-CA"/>
        </w:rPr>
        <w:t xml:space="preserve">Rodón, J., &amp; Sesé, F. (2010). Analysing IOIS adoption through structural contradictions. </w:t>
      </w:r>
      <w:r w:rsidRPr="00DD7E97">
        <w:rPr>
          <w:i/>
          <w:iCs/>
          <w:lang w:val="en-CA"/>
        </w:rPr>
        <w:t>European Journal of Information Systems</w:t>
      </w:r>
      <w:r w:rsidRPr="00DD7E97">
        <w:rPr>
          <w:lang w:val="en-CA"/>
        </w:rPr>
        <w:t xml:space="preserve">, </w:t>
      </w:r>
      <w:r w:rsidRPr="00DD7E97">
        <w:rPr>
          <w:i/>
          <w:iCs/>
          <w:lang w:val="en-CA"/>
        </w:rPr>
        <w:t>19</w:t>
      </w:r>
      <w:r w:rsidRPr="00DD7E97">
        <w:rPr>
          <w:lang w:val="en-CA"/>
        </w:rPr>
        <w:t>(6), 637</w:t>
      </w:r>
      <w:r w:rsidRPr="00DD7E97">
        <w:rPr>
          <w:rFonts w:ascii="Cambria Math" w:hAnsi="Cambria Math" w:cs="Cambria Math"/>
          <w:lang w:val="en-CA"/>
        </w:rPr>
        <w:t>‑</w:t>
      </w:r>
      <w:r w:rsidRPr="00DD7E97">
        <w:rPr>
          <w:lang w:val="en-CA"/>
        </w:rPr>
        <w:t>648. https://doi.org/10.1057/ejis.2010.44</w:t>
      </w:r>
    </w:p>
    <w:p w14:paraId="44259D28" w14:textId="77777777" w:rsidR="00D83FB8" w:rsidRPr="00DD7E97" w:rsidRDefault="00D83FB8" w:rsidP="002B6A0F">
      <w:pPr>
        <w:pStyle w:val="Bibliography"/>
        <w:spacing w:line="240" w:lineRule="auto"/>
        <w:rPr>
          <w:lang w:val="en-CA"/>
        </w:rPr>
      </w:pPr>
      <w:r w:rsidRPr="00DD7E97">
        <w:rPr>
          <w:lang w:val="en-CA"/>
        </w:rPr>
        <w:t xml:space="preserve">Shahrasbi, N., &amp; Paré, G. (2014). Rethinking the Concept of Organizational Readiness : What Can IS Researchers Learn from the Change Management Field? </w:t>
      </w:r>
      <w:r w:rsidRPr="00DD7E97">
        <w:rPr>
          <w:i/>
          <w:iCs/>
          <w:lang w:val="en-CA"/>
        </w:rPr>
        <w:t>Unpublished</w:t>
      </w:r>
      <w:r w:rsidRPr="00DD7E97">
        <w:rPr>
          <w:lang w:val="en-CA"/>
        </w:rPr>
        <w:t>. https://doi.org/10.13140/rg.2.1.3470.8564</w:t>
      </w:r>
    </w:p>
    <w:p w14:paraId="720ADAA0" w14:textId="77777777" w:rsidR="00D83FB8" w:rsidRPr="00DD7E97" w:rsidRDefault="00D83FB8" w:rsidP="002B6A0F">
      <w:pPr>
        <w:pStyle w:val="Bibliography"/>
        <w:spacing w:line="240" w:lineRule="auto"/>
        <w:rPr>
          <w:lang w:val="en-CA"/>
        </w:rPr>
      </w:pPr>
      <w:r w:rsidRPr="00DD7E97">
        <w:rPr>
          <w:lang w:val="en-CA"/>
        </w:rPr>
        <w:t xml:space="preserve">Spillman, L. (2018). Meta-Organization Matters. </w:t>
      </w:r>
      <w:r w:rsidRPr="00DD7E97">
        <w:rPr>
          <w:i/>
          <w:iCs/>
          <w:lang w:val="en-CA"/>
        </w:rPr>
        <w:t>Journal of Management Inquiry</w:t>
      </w:r>
      <w:r w:rsidRPr="00DD7E97">
        <w:rPr>
          <w:lang w:val="en-CA"/>
        </w:rPr>
        <w:t xml:space="preserve">, </w:t>
      </w:r>
      <w:r w:rsidRPr="00DD7E97">
        <w:rPr>
          <w:i/>
          <w:iCs/>
          <w:lang w:val="en-CA"/>
        </w:rPr>
        <w:t>27</w:t>
      </w:r>
      <w:r w:rsidRPr="00DD7E97">
        <w:rPr>
          <w:lang w:val="en-CA"/>
        </w:rPr>
        <w:t>(1), 16</w:t>
      </w:r>
      <w:r w:rsidRPr="00DD7E97">
        <w:rPr>
          <w:rFonts w:ascii="Cambria Math" w:hAnsi="Cambria Math" w:cs="Cambria Math"/>
          <w:lang w:val="en-CA"/>
        </w:rPr>
        <w:t>‑</w:t>
      </w:r>
      <w:r w:rsidRPr="00DD7E97">
        <w:rPr>
          <w:lang w:val="en-CA"/>
        </w:rPr>
        <w:t>20. https://doi.org/10.1177/1056492616688856</w:t>
      </w:r>
    </w:p>
    <w:p w14:paraId="257216D3" w14:textId="77777777" w:rsidR="00D83FB8" w:rsidRPr="00DD7E97" w:rsidRDefault="00D83FB8" w:rsidP="002B6A0F">
      <w:pPr>
        <w:pStyle w:val="Bibliography"/>
        <w:spacing w:line="240" w:lineRule="auto"/>
        <w:rPr>
          <w:lang w:val="en-CA"/>
        </w:rPr>
      </w:pPr>
      <w:r w:rsidRPr="00DD7E97">
        <w:rPr>
          <w:lang w:val="en-CA"/>
        </w:rPr>
        <w:t xml:space="preserve">Steinfield, C. W., Markus, M. L., &amp; Wigand, R. T. (2005). Exploring Interorganizational Systems at the Industry Level of Analysis : Evidence from the US Home Mortgage Industry. </w:t>
      </w:r>
      <w:r w:rsidRPr="00DD7E97">
        <w:rPr>
          <w:i/>
          <w:iCs/>
          <w:lang w:val="en-CA"/>
        </w:rPr>
        <w:t>Journal of Information Technology</w:t>
      </w:r>
      <w:r w:rsidRPr="00DD7E97">
        <w:rPr>
          <w:lang w:val="en-CA"/>
        </w:rPr>
        <w:t xml:space="preserve">, </w:t>
      </w:r>
      <w:r w:rsidRPr="00DD7E97">
        <w:rPr>
          <w:i/>
          <w:iCs/>
          <w:lang w:val="en-CA"/>
        </w:rPr>
        <w:t>20</w:t>
      </w:r>
      <w:r w:rsidRPr="00DD7E97">
        <w:rPr>
          <w:lang w:val="en-CA"/>
        </w:rPr>
        <w:t>(4), 224</w:t>
      </w:r>
      <w:r w:rsidRPr="00DD7E97">
        <w:rPr>
          <w:rFonts w:ascii="Cambria Math" w:hAnsi="Cambria Math" w:cs="Cambria Math"/>
          <w:lang w:val="en-CA"/>
        </w:rPr>
        <w:t>‑</w:t>
      </w:r>
      <w:r w:rsidRPr="00DD7E97">
        <w:rPr>
          <w:lang w:val="en-CA"/>
        </w:rPr>
        <w:t>233. https://doi.org/10.1057/palgrave.jit.2000051</w:t>
      </w:r>
    </w:p>
    <w:p w14:paraId="24E2694E" w14:textId="77777777" w:rsidR="00D83FB8" w:rsidRPr="00DD7E97" w:rsidRDefault="00D83FB8" w:rsidP="002B6A0F">
      <w:pPr>
        <w:pStyle w:val="Bibliography"/>
        <w:spacing w:line="240" w:lineRule="auto"/>
        <w:rPr>
          <w:lang w:val="en-CA"/>
        </w:rPr>
      </w:pPr>
      <w:r w:rsidRPr="00DD7E97">
        <w:rPr>
          <w:lang w:val="en-CA"/>
        </w:rPr>
        <w:t xml:space="preserve">Tassey, G. (2000). Standardization in technology-based markets. </w:t>
      </w:r>
      <w:r w:rsidRPr="00DD7E97">
        <w:rPr>
          <w:i/>
          <w:iCs/>
          <w:lang w:val="en-CA"/>
        </w:rPr>
        <w:t>Research Policy</w:t>
      </w:r>
      <w:r w:rsidRPr="00DD7E97">
        <w:rPr>
          <w:lang w:val="en-CA"/>
        </w:rPr>
        <w:t xml:space="preserve">, </w:t>
      </w:r>
      <w:r w:rsidRPr="00DD7E97">
        <w:rPr>
          <w:i/>
          <w:iCs/>
          <w:lang w:val="en-CA"/>
        </w:rPr>
        <w:t>29</w:t>
      </w:r>
      <w:r w:rsidRPr="00DD7E97">
        <w:rPr>
          <w:lang w:val="en-CA"/>
        </w:rPr>
        <w:t>(4), 587</w:t>
      </w:r>
      <w:r w:rsidRPr="00DD7E97">
        <w:rPr>
          <w:rFonts w:ascii="Cambria Math" w:hAnsi="Cambria Math" w:cs="Cambria Math"/>
          <w:lang w:val="en-CA"/>
        </w:rPr>
        <w:t>‑</w:t>
      </w:r>
      <w:r w:rsidRPr="00DD7E97">
        <w:rPr>
          <w:lang w:val="en-CA"/>
        </w:rPr>
        <w:t>602. https://doi.org/10.1016/S0048-7333(99)00091-8</w:t>
      </w:r>
    </w:p>
    <w:p w14:paraId="1CEEA836" w14:textId="77777777" w:rsidR="00D83FB8" w:rsidRPr="00DD7E97" w:rsidRDefault="00D83FB8" w:rsidP="002B6A0F">
      <w:pPr>
        <w:pStyle w:val="Bibliography"/>
        <w:spacing w:line="240" w:lineRule="auto"/>
        <w:rPr>
          <w:lang w:val="en-CA"/>
        </w:rPr>
      </w:pPr>
      <w:r w:rsidRPr="00DD7E97">
        <w:rPr>
          <w:lang w:val="en-CA"/>
        </w:rPr>
        <w:t xml:space="preserve">Wang, P., &amp; Ramiller, N. C. (2009). Community Learning in Information Technology Innovation. </w:t>
      </w:r>
      <w:r w:rsidRPr="00DD7E97">
        <w:rPr>
          <w:i/>
          <w:iCs/>
          <w:lang w:val="en-CA"/>
        </w:rPr>
        <w:t>MIS Quarterly</w:t>
      </w:r>
      <w:r w:rsidRPr="00DD7E97">
        <w:rPr>
          <w:lang w:val="en-CA"/>
        </w:rPr>
        <w:t xml:space="preserve">, </w:t>
      </w:r>
      <w:r w:rsidRPr="00DD7E97">
        <w:rPr>
          <w:i/>
          <w:iCs/>
          <w:lang w:val="en-CA"/>
        </w:rPr>
        <w:t>33</w:t>
      </w:r>
      <w:r w:rsidRPr="00DD7E97">
        <w:rPr>
          <w:lang w:val="en-CA"/>
        </w:rPr>
        <w:t>(4), 709</w:t>
      </w:r>
      <w:r w:rsidRPr="00DD7E97">
        <w:rPr>
          <w:rFonts w:ascii="Cambria Math" w:hAnsi="Cambria Math" w:cs="Cambria Math"/>
          <w:lang w:val="en-CA"/>
        </w:rPr>
        <w:t>‑</w:t>
      </w:r>
      <w:r w:rsidRPr="00DD7E97">
        <w:rPr>
          <w:lang w:val="en-CA"/>
        </w:rPr>
        <w:t>734. https://doi.org/10.2307/20650324</w:t>
      </w:r>
    </w:p>
    <w:p w14:paraId="0AB7CF0D" w14:textId="77777777" w:rsidR="00D83FB8" w:rsidRPr="00D83FB8" w:rsidRDefault="00D83FB8" w:rsidP="002B6A0F">
      <w:pPr>
        <w:pStyle w:val="Bibliography"/>
        <w:spacing w:line="240" w:lineRule="auto"/>
      </w:pPr>
      <w:r w:rsidRPr="00DD7E97">
        <w:rPr>
          <w:lang w:val="en-CA"/>
        </w:rPr>
        <w:t xml:space="preserve">Yin, R. K. (2014). </w:t>
      </w:r>
      <w:r w:rsidRPr="00DD7E97">
        <w:rPr>
          <w:i/>
          <w:iCs/>
          <w:lang w:val="en-CA"/>
        </w:rPr>
        <w:t>Case study research : Design and methods</w:t>
      </w:r>
      <w:r w:rsidRPr="00DD7E97">
        <w:rPr>
          <w:lang w:val="en-CA"/>
        </w:rPr>
        <w:t xml:space="preserve"> (Fifth edition). </w:t>
      </w:r>
      <w:r w:rsidRPr="00D83FB8">
        <w:t>SAGE.</w:t>
      </w:r>
    </w:p>
    <w:p w14:paraId="216BD3C2" w14:textId="135E301F" w:rsidR="00D77DA2" w:rsidRPr="00D77DA2" w:rsidRDefault="002B03FD" w:rsidP="002B6A0F">
      <w:pPr>
        <w:spacing w:line="240" w:lineRule="auto"/>
      </w:pPr>
      <w:r>
        <w:fldChar w:fldCharType="end"/>
      </w:r>
    </w:p>
    <w:sectPr w:rsidR="00D77DA2" w:rsidRPr="00D77DA2" w:rsidSect="008E32C4">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BEB4" w14:textId="77777777" w:rsidR="00CE7254" w:rsidRDefault="00CE7254" w:rsidP="005056AC">
      <w:r>
        <w:separator/>
      </w:r>
    </w:p>
  </w:endnote>
  <w:endnote w:type="continuationSeparator" w:id="0">
    <w:p w14:paraId="0C6E187E" w14:textId="77777777" w:rsidR="00CE7254" w:rsidRDefault="00CE7254" w:rsidP="005056AC">
      <w:r>
        <w:continuationSeparator/>
      </w:r>
    </w:p>
  </w:endnote>
  <w:endnote w:type="continuationNotice" w:id="1">
    <w:p w14:paraId="174C6822" w14:textId="77777777" w:rsidR="00CE7254" w:rsidRDefault="00CE7254" w:rsidP="00505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048965"/>
      <w:docPartObj>
        <w:docPartGallery w:val="Page Numbers (Bottom of Page)"/>
        <w:docPartUnique/>
      </w:docPartObj>
    </w:sdtPr>
    <w:sdtContent>
      <w:p w14:paraId="080B1688" w14:textId="7D22E385" w:rsidR="00BB38C0" w:rsidRDefault="00BB38C0">
        <w:pPr>
          <w:pStyle w:val="Footer"/>
          <w:jc w:val="center"/>
        </w:pPr>
        <w:r>
          <w:fldChar w:fldCharType="begin"/>
        </w:r>
        <w:r>
          <w:instrText>PAGE   \* MERGEFORMAT</w:instrText>
        </w:r>
        <w:r>
          <w:fldChar w:fldCharType="separate"/>
        </w:r>
        <w:r>
          <w:rPr>
            <w:lang w:val="fr-FR"/>
          </w:rPr>
          <w:t>2</w:t>
        </w:r>
        <w:r>
          <w:fldChar w:fldCharType="end"/>
        </w:r>
      </w:p>
    </w:sdtContent>
  </w:sdt>
  <w:p w14:paraId="17FE72D7" w14:textId="77777777" w:rsidR="00FF0070" w:rsidRDefault="00FF0070" w:rsidP="00505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9654" w14:textId="77777777" w:rsidR="00CE7254" w:rsidRDefault="00CE7254" w:rsidP="005056AC">
      <w:r>
        <w:separator/>
      </w:r>
    </w:p>
  </w:footnote>
  <w:footnote w:type="continuationSeparator" w:id="0">
    <w:p w14:paraId="189921AE" w14:textId="77777777" w:rsidR="00CE7254" w:rsidRDefault="00CE7254" w:rsidP="005056AC">
      <w:r>
        <w:continuationSeparator/>
      </w:r>
    </w:p>
  </w:footnote>
  <w:footnote w:type="continuationNotice" w:id="1">
    <w:p w14:paraId="38EAE992" w14:textId="77777777" w:rsidR="00CE7254" w:rsidRDefault="00CE7254" w:rsidP="00505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7D5"/>
    <w:multiLevelType w:val="hybridMultilevel"/>
    <w:tmpl w:val="67AEFB10"/>
    <w:lvl w:ilvl="0" w:tplc="D87E13D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B7A716F"/>
    <w:multiLevelType w:val="hybridMultilevel"/>
    <w:tmpl w:val="70667AAE"/>
    <w:lvl w:ilvl="0" w:tplc="C5E69B3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362239"/>
    <w:multiLevelType w:val="hybridMultilevel"/>
    <w:tmpl w:val="BC4A16D0"/>
    <w:lvl w:ilvl="0" w:tplc="E38620E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8BC2768"/>
    <w:multiLevelType w:val="hybridMultilevel"/>
    <w:tmpl w:val="F9F27852"/>
    <w:lvl w:ilvl="0" w:tplc="851865B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685008"/>
    <w:multiLevelType w:val="hybridMultilevel"/>
    <w:tmpl w:val="2468169C"/>
    <w:lvl w:ilvl="0" w:tplc="70C4904C">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930D73"/>
    <w:multiLevelType w:val="hybridMultilevel"/>
    <w:tmpl w:val="7194BA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8B44538"/>
    <w:multiLevelType w:val="hybridMultilevel"/>
    <w:tmpl w:val="C6C06D78"/>
    <w:lvl w:ilvl="0" w:tplc="764CE23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2116779"/>
    <w:multiLevelType w:val="hybridMultilevel"/>
    <w:tmpl w:val="82E4E0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96C1BAB"/>
    <w:multiLevelType w:val="multilevel"/>
    <w:tmpl w:val="8140DF2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DC17BB"/>
    <w:multiLevelType w:val="hybridMultilevel"/>
    <w:tmpl w:val="4EF0C010"/>
    <w:lvl w:ilvl="0" w:tplc="FFFFFFFF">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26E083E"/>
    <w:multiLevelType w:val="hybridMultilevel"/>
    <w:tmpl w:val="E5EC3058"/>
    <w:lvl w:ilvl="0" w:tplc="0ADCFB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69FD5289"/>
    <w:multiLevelType w:val="hybridMultilevel"/>
    <w:tmpl w:val="82E4E02C"/>
    <w:lvl w:ilvl="0" w:tplc="0C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D02B34"/>
    <w:multiLevelType w:val="hybridMultilevel"/>
    <w:tmpl w:val="82E4E0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772E4F"/>
    <w:multiLevelType w:val="hybridMultilevel"/>
    <w:tmpl w:val="B5ACFF2E"/>
    <w:lvl w:ilvl="0" w:tplc="851865B2">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F061AB0"/>
    <w:multiLevelType w:val="hybridMultilevel"/>
    <w:tmpl w:val="D37265D4"/>
    <w:lvl w:ilvl="0" w:tplc="851865B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C227041"/>
    <w:multiLevelType w:val="hybridMultilevel"/>
    <w:tmpl w:val="5E52E0F8"/>
    <w:lvl w:ilvl="0" w:tplc="0C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9661200">
    <w:abstractNumId w:val="10"/>
  </w:num>
  <w:num w:numId="2" w16cid:durableId="1399671084">
    <w:abstractNumId w:val="0"/>
  </w:num>
  <w:num w:numId="3" w16cid:durableId="1734158564">
    <w:abstractNumId w:val="2"/>
  </w:num>
  <w:num w:numId="4" w16cid:durableId="1056395864">
    <w:abstractNumId w:val="6"/>
  </w:num>
  <w:num w:numId="5" w16cid:durableId="1129200734">
    <w:abstractNumId w:val="15"/>
  </w:num>
  <w:num w:numId="6" w16cid:durableId="642662218">
    <w:abstractNumId w:val="11"/>
  </w:num>
  <w:num w:numId="7" w16cid:durableId="403797178">
    <w:abstractNumId w:val="12"/>
  </w:num>
  <w:num w:numId="8" w16cid:durableId="1701515425">
    <w:abstractNumId w:val="7"/>
  </w:num>
  <w:num w:numId="9" w16cid:durableId="27070459">
    <w:abstractNumId w:val="9"/>
  </w:num>
  <w:num w:numId="10" w16cid:durableId="500969819">
    <w:abstractNumId w:val="4"/>
  </w:num>
  <w:num w:numId="11" w16cid:durableId="993027159">
    <w:abstractNumId w:val="8"/>
  </w:num>
  <w:num w:numId="12" w16cid:durableId="1074744413">
    <w:abstractNumId w:val="14"/>
  </w:num>
  <w:num w:numId="13" w16cid:durableId="503207168">
    <w:abstractNumId w:val="1"/>
  </w:num>
  <w:num w:numId="14" w16cid:durableId="1721516350">
    <w:abstractNumId w:val="3"/>
  </w:num>
  <w:num w:numId="15" w16cid:durableId="13324916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55001193">
    <w:abstractNumId w:val="13"/>
  </w:num>
  <w:num w:numId="17" w16cid:durableId="73403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17"/>
    <w:rsid w:val="00002034"/>
    <w:rsid w:val="0000264F"/>
    <w:rsid w:val="00002D41"/>
    <w:rsid w:val="000057F4"/>
    <w:rsid w:val="00005951"/>
    <w:rsid w:val="00005A63"/>
    <w:rsid w:val="0000719E"/>
    <w:rsid w:val="00007FC2"/>
    <w:rsid w:val="000124B5"/>
    <w:rsid w:val="000128EB"/>
    <w:rsid w:val="00013BE2"/>
    <w:rsid w:val="000151CE"/>
    <w:rsid w:val="00016F2F"/>
    <w:rsid w:val="000178BF"/>
    <w:rsid w:val="000179B4"/>
    <w:rsid w:val="00020E89"/>
    <w:rsid w:val="0002244B"/>
    <w:rsid w:val="00023503"/>
    <w:rsid w:val="000249F7"/>
    <w:rsid w:val="00024A3F"/>
    <w:rsid w:val="00025410"/>
    <w:rsid w:val="000261A3"/>
    <w:rsid w:val="00026DD8"/>
    <w:rsid w:val="000338B2"/>
    <w:rsid w:val="00033EFA"/>
    <w:rsid w:val="00036638"/>
    <w:rsid w:val="00036CB8"/>
    <w:rsid w:val="0004308F"/>
    <w:rsid w:val="0004635E"/>
    <w:rsid w:val="00050AD6"/>
    <w:rsid w:val="000556C0"/>
    <w:rsid w:val="00055DB1"/>
    <w:rsid w:val="00057EBF"/>
    <w:rsid w:val="00060DDE"/>
    <w:rsid w:val="00061389"/>
    <w:rsid w:val="00061C63"/>
    <w:rsid w:val="000677BD"/>
    <w:rsid w:val="00067AB7"/>
    <w:rsid w:val="00070CEB"/>
    <w:rsid w:val="00073DC7"/>
    <w:rsid w:val="000740DC"/>
    <w:rsid w:val="00074E01"/>
    <w:rsid w:val="00077E5F"/>
    <w:rsid w:val="00080ACC"/>
    <w:rsid w:val="00082449"/>
    <w:rsid w:val="00085146"/>
    <w:rsid w:val="00085385"/>
    <w:rsid w:val="00086D27"/>
    <w:rsid w:val="00087DDB"/>
    <w:rsid w:val="00090280"/>
    <w:rsid w:val="000915E4"/>
    <w:rsid w:val="000916DF"/>
    <w:rsid w:val="00092722"/>
    <w:rsid w:val="00093485"/>
    <w:rsid w:val="00093E2C"/>
    <w:rsid w:val="000957A1"/>
    <w:rsid w:val="0009698D"/>
    <w:rsid w:val="000A26B4"/>
    <w:rsid w:val="000A61F9"/>
    <w:rsid w:val="000B099D"/>
    <w:rsid w:val="000B1610"/>
    <w:rsid w:val="000B23B0"/>
    <w:rsid w:val="000B2D9B"/>
    <w:rsid w:val="000B38A9"/>
    <w:rsid w:val="000B471C"/>
    <w:rsid w:val="000B49F6"/>
    <w:rsid w:val="000B6747"/>
    <w:rsid w:val="000C03D6"/>
    <w:rsid w:val="000C12AA"/>
    <w:rsid w:val="000C23D9"/>
    <w:rsid w:val="000C2EE2"/>
    <w:rsid w:val="000C5CBB"/>
    <w:rsid w:val="000C65CC"/>
    <w:rsid w:val="000C6C32"/>
    <w:rsid w:val="000C7238"/>
    <w:rsid w:val="000C7D57"/>
    <w:rsid w:val="000D2496"/>
    <w:rsid w:val="000D326B"/>
    <w:rsid w:val="000D3DD3"/>
    <w:rsid w:val="000D6618"/>
    <w:rsid w:val="000D6ABD"/>
    <w:rsid w:val="000D6EFC"/>
    <w:rsid w:val="000D7C66"/>
    <w:rsid w:val="000E1C3D"/>
    <w:rsid w:val="000E1FB5"/>
    <w:rsid w:val="000E2D6B"/>
    <w:rsid w:val="000E65B0"/>
    <w:rsid w:val="000E72A5"/>
    <w:rsid w:val="000F3650"/>
    <w:rsid w:val="000F434D"/>
    <w:rsid w:val="00101B1E"/>
    <w:rsid w:val="00102039"/>
    <w:rsid w:val="00102183"/>
    <w:rsid w:val="0010259B"/>
    <w:rsid w:val="00103DB7"/>
    <w:rsid w:val="00104AAA"/>
    <w:rsid w:val="00107E2E"/>
    <w:rsid w:val="00112BB6"/>
    <w:rsid w:val="00112FDB"/>
    <w:rsid w:val="00113703"/>
    <w:rsid w:val="00113C01"/>
    <w:rsid w:val="00113D7D"/>
    <w:rsid w:val="00114F4F"/>
    <w:rsid w:val="00116313"/>
    <w:rsid w:val="0011680D"/>
    <w:rsid w:val="00116C0C"/>
    <w:rsid w:val="00117966"/>
    <w:rsid w:val="00117E6F"/>
    <w:rsid w:val="001217E3"/>
    <w:rsid w:val="00122181"/>
    <w:rsid w:val="00126401"/>
    <w:rsid w:val="00130B8B"/>
    <w:rsid w:val="0013298B"/>
    <w:rsid w:val="00132DA1"/>
    <w:rsid w:val="0013389A"/>
    <w:rsid w:val="001346B6"/>
    <w:rsid w:val="00136FE6"/>
    <w:rsid w:val="0014011E"/>
    <w:rsid w:val="00141D57"/>
    <w:rsid w:val="00142AF8"/>
    <w:rsid w:val="001459EF"/>
    <w:rsid w:val="00146786"/>
    <w:rsid w:val="0014733C"/>
    <w:rsid w:val="00152675"/>
    <w:rsid w:val="00156EA9"/>
    <w:rsid w:val="00157E86"/>
    <w:rsid w:val="00162AC4"/>
    <w:rsid w:val="0016456F"/>
    <w:rsid w:val="00166E16"/>
    <w:rsid w:val="001679EA"/>
    <w:rsid w:val="001751CD"/>
    <w:rsid w:val="001755A3"/>
    <w:rsid w:val="00175ABA"/>
    <w:rsid w:val="00176CC8"/>
    <w:rsid w:val="00176DAC"/>
    <w:rsid w:val="0017757C"/>
    <w:rsid w:val="00177853"/>
    <w:rsid w:val="001800A3"/>
    <w:rsid w:val="001813F5"/>
    <w:rsid w:val="00183AB3"/>
    <w:rsid w:val="001853E6"/>
    <w:rsid w:val="00185674"/>
    <w:rsid w:val="00190484"/>
    <w:rsid w:val="00191158"/>
    <w:rsid w:val="00191FC1"/>
    <w:rsid w:val="00192DEB"/>
    <w:rsid w:val="00195643"/>
    <w:rsid w:val="0019692E"/>
    <w:rsid w:val="001A04FD"/>
    <w:rsid w:val="001A233B"/>
    <w:rsid w:val="001A334D"/>
    <w:rsid w:val="001A5077"/>
    <w:rsid w:val="001A7248"/>
    <w:rsid w:val="001A7972"/>
    <w:rsid w:val="001A7F16"/>
    <w:rsid w:val="001B0A88"/>
    <w:rsid w:val="001B6BFB"/>
    <w:rsid w:val="001B7918"/>
    <w:rsid w:val="001C33A4"/>
    <w:rsid w:val="001C4BEA"/>
    <w:rsid w:val="001C59D5"/>
    <w:rsid w:val="001C5B1A"/>
    <w:rsid w:val="001D0031"/>
    <w:rsid w:val="001D129C"/>
    <w:rsid w:val="001D18D8"/>
    <w:rsid w:val="001D4815"/>
    <w:rsid w:val="001D63B5"/>
    <w:rsid w:val="001D797C"/>
    <w:rsid w:val="001E0150"/>
    <w:rsid w:val="001E1573"/>
    <w:rsid w:val="001E2C75"/>
    <w:rsid w:val="001E38D1"/>
    <w:rsid w:val="001E4146"/>
    <w:rsid w:val="001E509E"/>
    <w:rsid w:val="001E67C3"/>
    <w:rsid w:val="001E6AA7"/>
    <w:rsid w:val="001F0350"/>
    <w:rsid w:val="001F25F0"/>
    <w:rsid w:val="001F3136"/>
    <w:rsid w:val="001F3874"/>
    <w:rsid w:val="001F3B09"/>
    <w:rsid w:val="001F469A"/>
    <w:rsid w:val="001F5861"/>
    <w:rsid w:val="00201808"/>
    <w:rsid w:val="00201876"/>
    <w:rsid w:val="00210077"/>
    <w:rsid w:val="002106C2"/>
    <w:rsid w:val="00212C03"/>
    <w:rsid w:val="002136EC"/>
    <w:rsid w:val="00216EEC"/>
    <w:rsid w:val="002233BB"/>
    <w:rsid w:val="00224F84"/>
    <w:rsid w:val="002257EF"/>
    <w:rsid w:val="0022693C"/>
    <w:rsid w:val="00227956"/>
    <w:rsid w:val="0023099B"/>
    <w:rsid w:val="00231C77"/>
    <w:rsid w:val="002327C6"/>
    <w:rsid w:val="00233B9A"/>
    <w:rsid w:val="00234568"/>
    <w:rsid w:val="002354FF"/>
    <w:rsid w:val="00236350"/>
    <w:rsid w:val="002365B8"/>
    <w:rsid w:val="00237AFE"/>
    <w:rsid w:val="00237EB3"/>
    <w:rsid w:val="00240184"/>
    <w:rsid w:val="002406FB"/>
    <w:rsid w:val="00241F65"/>
    <w:rsid w:val="00243699"/>
    <w:rsid w:val="0024555C"/>
    <w:rsid w:val="002465AD"/>
    <w:rsid w:val="002477D6"/>
    <w:rsid w:val="00251AF6"/>
    <w:rsid w:val="0025307E"/>
    <w:rsid w:val="002539E7"/>
    <w:rsid w:val="002559DA"/>
    <w:rsid w:val="00256BF0"/>
    <w:rsid w:val="00262351"/>
    <w:rsid w:val="002653C2"/>
    <w:rsid w:val="00265E85"/>
    <w:rsid w:val="00266467"/>
    <w:rsid w:val="00267754"/>
    <w:rsid w:val="002705FA"/>
    <w:rsid w:val="002706A0"/>
    <w:rsid w:val="00270B40"/>
    <w:rsid w:val="002748A1"/>
    <w:rsid w:val="00281149"/>
    <w:rsid w:val="00285A88"/>
    <w:rsid w:val="00287230"/>
    <w:rsid w:val="0029092B"/>
    <w:rsid w:val="00291AEA"/>
    <w:rsid w:val="00295166"/>
    <w:rsid w:val="002978C4"/>
    <w:rsid w:val="002A0B02"/>
    <w:rsid w:val="002A22CD"/>
    <w:rsid w:val="002A36F2"/>
    <w:rsid w:val="002A4B76"/>
    <w:rsid w:val="002B03FD"/>
    <w:rsid w:val="002B3E5B"/>
    <w:rsid w:val="002B6A0F"/>
    <w:rsid w:val="002B7047"/>
    <w:rsid w:val="002B7202"/>
    <w:rsid w:val="002B7A21"/>
    <w:rsid w:val="002C1E6D"/>
    <w:rsid w:val="002C26CC"/>
    <w:rsid w:val="002C7ED2"/>
    <w:rsid w:val="002D0EF5"/>
    <w:rsid w:val="002D129C"/>
    <w:rsid w:val="002D1684"/>
    <w:rsid w:val="002D2447"/>
    <w:rsid w:val="002D4CF8"/>
    <w:rsid w:val="002D684B"/>
    <w:rsid w:val="002D6FA4"/>
    <w:rsid w:val="002E1718"/>
    <w:rsid w:val="002E2F70"/>
    <w:rsid w:val="002E48AD"/>
    <w:rsid w:val="002E4C59"/>
    <w:rsid w:val="002E5310"/>
    <w:rsid w:val="002F1363"/>
    <w:rsid w:val="002F6209"/>
    <w:rsid w:val="0030067B"/>
    <w:rsid w:val="003013E0"/>
    <w:rsid w:val="00303018"/>
    <w:rsid w:val="00303BE9"/>
    <w:rsid w:val="003100EA"/>
    <w:rsid w:val="00312A93"/>
    <w:rsid w:val="00312CB1"/>
    <w:rsid w:val="00330677"/>
    <w:rsid w:val="003309D8"/>
    <w:rsid w:val="00330DA5"/>
    <w:rsid w:val="00331F28"/>
    <w:rsid w:val="0033440D"/>
    <w:rsid w:val="003369BF"/>
    <w:rsid w:val="00337765"/>
    <w:rsid w:val="00344DDB"/>
    <w:rsid w:val="003472F8"/>
    <w:rsid w:val="0034796A"/>
    <w:rsid w:val="003501E1"/>
    <w:rsid w:val="00350C1B"/>
    <w:rsid w:val="00351243"/>
    <w:rsid w:val="00354F3C"/>
    <w:rsid w:val="0035597B"/>
    <w:rsid w:val="00356FEC"/>
    <w:rsid w:val="00361BCD"/>
    <w:rsid w:val="00363D16"/>
    <w:rsid w:val="003645E8"/>
    <w:rsid w:val="00367A25"/>
    <w:rsid w:val="003707AF"/>
    <w:rsid w:val="00370C46"/>
    <w:rsid w:val="0037537B"/>
    <w:rsid w:val="00375E80"/>
    <w:rsid w:val="003767EF"/>
    <w:rsid w:val="00380D12"/>
    <w:rsid w:val="00381C29"/>
    <w:rsid w:val="00383180"/>
    <w:rsid w:val="003849CD"/>
    <w:rsid w:val="00386DA7"/>
    <w:rsid w:val="003871D1"/>
    <w:rsid w:val="00387BE1"/>
    <w:rsid w:val="00387E2C"/>
    <w:rsid w:val="00390D87"/>
    <w:rsid w:val="0039154D"/>
    <w:rsid w:val="00393FA1"/>
    <w:rsid w:val="003950E6"/>
    <w:rsid w:val="00397D91"/>
    <w:rsid w:val="003A02D9"/>
    <w:rsid w:val="003A0689"/>
    <w:rsid w:val="003A1700"/>
    <w:rsid w:val="003A3134"/>
    <w:rsid w:val="003A6428"/>
    <w:rsid w:val="003A683C"/>
    <w:rsid w:val="003A709A"/>
    <w:rsid w:val="003A7ED0"/>
    <w:rsid w:val="003B19F8"/>
    <w:rsid w:val="003B7BB0"/>
    <w:rsid w:val="003C01F4"/>
    <w:rsid w:val="003C2FEE"/>
    <w:rsid w:val="003C3C52"/>
    <w:rsid w:val="003C578D"/>
    <w:rsid w:val="003C6043"/>
    <w:rsid w:val="003C6470"/>
    <w:rsid w:val="003C7E17"/>
    <w:rsid w:val="003D2A73"/>
    <w:rsid w:val="003D2CE3"/>
    <w:rsid w:val="003D4417"/>
    <w:rsid w:val="003D51BD"/>
    <w:rsid w:val="003D6881"/>
    <w:rsid w:val="003D7FFB"/>
    <w:rsid w:val="003E7ADE"/>
    <w:rsid w:val="003F0B76"/>
    <w:rsid w:val="003F4410"/>
    <w:rsid w:val="003F4820"/>
    <w:rsid w:val="003F7173"/>
    <w:rsid w:val="003F7829"/>
    <w:rsid w:val="003F796D"/>
    <w:rsid w:val="00401E83"/>
    <w:rsid w:val="00402E8A"/>
    <w:rsid w:val="00407E06"/>
    <w:rsid w:val="00410126"/>
    <w:rsid w:val="00411161"/>
    <w:rsid w:val="0041350D"/>
    <w:rsid w:val="00415252"/>
    <w:rsid w:val="00422F1E"/>
    <w:rsid w:val="00423C68"/>
    <w:rsid w:val="0042481B"/>
    <w:rsid w:val="00425142"/>
    <w:rsid w:val="004331AC"/>
    <w:rsid w:val="004334EA"/>
    <w:rsid w:val="00433ABD"/>
    <w:rsid w:val="00436BAE"/>
    <w:rsid w:val="00440C82"/>
    <w:rsid w:val="00440F91"/>
    <w:rsid w:val="004429DD"/>
    <w:rsid w:val="0044483C"/>
    <w:rsid w:val="004465E1"/>
    <w:rsid w:val="00447DB0"/>
    <w:rsid w:val="004500DE"/>
    <w:rsid w:val="00451906"/>
    <w:rsid w:val="00452AFA"/>
    <w:rsid w:val="00453301"/>
    <w:rsid w:val="004533A4"/>
    <w:rsid w:val="00453FDE"/>
    <w:rsid w:val="0045402C"/>
    <w:rsid w:val="004543B9"/>
    <w:rsid w:val="00456780"/>
    <w:rsid w:val="004577E3"/>
    <w:rsid w:val="004635B8"/>
    <w:rsid w:val="0046539D"/>
    <w:rsid w:val="0046609A"/>
    <w:rsid w:val="00466619"/>
    <w:rsid w:val="0046719B"/>
    <w:rsid w:val="00467659"/>
    <w:rsid w:val="004678A6"/>
    <w:rsid w:val="004706C2"/>
    <w:rsid w:val="00472DCA"/>
    <w:rsid w:val="0047444C"/>
    <w:rsid w:val="004749DA"/>
    <w:rsid w:val="004757C2"/>
    <w:rsid w:val="00475A78"/>
    <w:rsid w:val="00477A12"/>
    <w:rsid w:val="0048032E"/>
    <w:rsid w:val="00484F90"/>
    <w:rsid w:val="0048786C"/>
    <w:rsid w:val="004912BF"/>
    <w:rsid w:val="004943AA"/>
    <w:rsid w:val="0049494F"/>
    <w:rsid w:val="004962B2"/>
    <w:rsid w:val="004A52E1"/>
    <w:rsid w:val="004B0FA0"/>
    <w:rsid w:val="004B2F1E"/>
    <w:rsid w:val="004B54A1"/>
    <w:rsid w:val="004B5A8C"/>
    <w:rsid w:val="004B6121"/>
    <w:rsid w:val="004C008C"/>
    <w:rsid w:val="004C5494"/>
    <w:rsid w:val="004C5BEB"/>
    <w:rsid w:val="004C7C5C"/>
    <w:rsid w:val="004D19E1"/>
    <w:rsid w:val="004D4312"/>
    <w:rsid w:val="004D7833"/>
    <w:rsid w:val="004D7E0B"/>
    <w:rsid w:val="004E27A5"/>
    <w:rsid w:val="004E4C0C"/>
    <w:rsid w:val="004E7269"/>
    <w:rsid w:val="004F1119"/>
    <w:rsid w:val="004F4930"/>
    <w:rsid w:val="004F634C"/>
    <w:rsid w:val="004F6609"/>
    <w:rsid w:val="0050050A"/>
    <w:rsid w:val="00500792"/>
    <w:rsid w:val="00500B5C"/>
    <w:rsid w:val="00501976"/>
    <w:rsid w:val="00502E86"/>
    <w:rsid w:val="005045FB"/>
    <w:rsid w:val="00504F6F"/>
    <w:rsid w:val="005055B1"/>
    <w:rsid w:val="005056AC"/>
    <w:rsid w:val="005108BB"/>
    <w:rsid w:val="00510CF0"/>
    <w:rsid w:val="00512328"/>
    <w:rsid w:val="0051323F"/>
    <w:rsid w:val="00513670"/>
    <w:rsid w:val="00516709"/>
    <w:rsid w:val="005210EF"/>
    <w:rsid w:val="00524C18"/>
    <w:rsid w:val="0052585A"/>
    <w:rsid w:val="00527052"/>
    <w:rsid w:val="00535EBD"/>
    <w:rsid w:val="005364DC"/>
    <w:rsid w:val="00537C25"/>
    <w:rsid w:val="00542C30"/>
    <w:rsid w:val="005444B7"/>
    <w:rsid w:val="005446C6"/>
    <w:rsid w:val="00544CB9"/>
    <w:rsid w:val="00544E6D"/>
    <w:rsid w:val="00545410"/>
    <w:rsid w:val="005477E0"/>
    <w:rsid w:val="00547B74"/>
    <w:rsid w:val="00551725"/>
    <w:rsid w:val="005520A7"/>
    <w:rsid w:val="005619AB"/>
    <w:rsid w:val="00561C6B"/>
    <w:rsid w:val="00562B1A"/>
    <w:rsid w:val="005632AE"/>
    <w:rsid w:val="00565599"/>
    <w:rsid w:val="005736DF"/>
    <w:rsid w:val="0057459B"/>
    <w:rsid w:val="0057523C"/>
    <w:rsid w:val="00575F54"/>
    <w:rsid w:val="00576D5A"/>
    <w:rsid w:val="005803D2"/>
    <w:rsid w:val="00580918"/>
    <w:rsid w:val="0058432B"/>
    <w:rsid w:val="00584FAA"/>
    <w:rsid w:val="00585A30"/>
    <w:rsid w:val="00585A9A"/>
    <w:rsid w:val="005875AB"/>
    <w:rsid w:val="00587CB2"/>
    <w:rsid w:val="0059374B"/>
    <w:rsid w:val="00594AB0"/>
    <w:rsid w:val="00594B77"/>
    <w:rsid w:val="00595026"/>
    <w:rsid w:val="005A475A"/>
    <w:rsid w:val="005A4A35"/>
    <w:rsid w:val="005A4CE6"/>
    <w:rsid w:val="005A51EE"/>
    <w:rsid w:val="005A5CEB"/>
    <w:rsid w:val="005A638D"/>
    <w:rsid w:val="005A67FB"/>
    <w:rsid w:val="005A6EDC"/>
    <w:rsid w:val="005B0583"/>
    <w:rsid w:val="005B171C"/>
    <w:rsid w:val="005B6C48"/>
    <w:rsid w:val="005B78C8"/>
    <w:rsid w:val="005B7F57"/>
    <w:rsid w:val="005C13F3"/>
    <w:rsid w:val="005C1F55"/>
    <w:rsid w:val="005C4557"/>
    <w:rsid w:val="005C4914"/>
    <w:rsid w:val="005C5095"/>
    <w:rsid w:val="005D03DC"/>
    <w:rsid w:val="005D041A"/>
    <w:rsid w:val="005D066A"/>
    <w:rsid w:val="005D0B19"/>
    <w:rsid w:val="005D1A57"/>
    <w:rsid w:val="005D2F71"/>
    <w:rsid w:val="005D3144"/>
    <w:rsid w:val="005D4293"/>
    <w:rsid w:val="005D4383"/>
    <w:rsid w:val="005D781A"/>
    <w:rsid w:val="005E08DD"/>
    <w:rsid w:val="005E0B5E"/>
    <w:rsid w:val="005E2B36"/>
    <w:rsid w:val="005F0393"/>
    <w:rsid w:val="005F06AD"/>
    <w:rsid w:val="005F1710"/>
    <w:rsid w:val="005F4339"/>
    <w:rsid w:val="005F7A23"/>
    <w:rsid w:val="005F7C56"/>
    <w:rsid w:val="006026B3"/>
    <w:rsid w:val="006030DC"/>
    <w:rsid w:val="006031D6"/>
    <w:rsid w:val="00605587"/>
    <w:rsid w:val="00605CF1"/>
    <w:rsid w:val="00606227"/>
    <w:rsid w:val="00610AFA"/>
    <w:rsid w:val="006120F8"/>
    <w:rsid w:val="00614380"/>
    <w:rsid w:val="00614CCC"/>
    <w:rsid w:val="006215ED"/>
    <w:rsid w:val="0062341B"/>
    <w:rsid w:val="00623D44"/>
    <w:rsid w:val="00624B6D"/>
    <w:rsid w:val="0062647D"/>
    <w:rsid w:val="006301E6"/>
    <w:rsid w:val="00634702"/>
    <w:rsid w:val="00634A90"/>
    <w:rsid w:val="006362E8"/>
    <w:rsid w:val="00636B62"/>
    <w:rsid w:val="00640DF5"/>
    <w:rsid w:val="0064163B"/>
    <w:rsid w:val="00643AB8"/>
    <w:rsid w:val="0064557C"/>
    <w:rsid w:val="00647D03"/>
    <w:rsid w:val="00651170"/>
    <w:rsid w:val="00651DEB"/>
    <w:rsid w:val="00655E03"/>
    <w:rsid w:val="00655F77"/>
    <w:rsid w:val="00656CDE"/>
    <w:rsid w:val="00660245"/>
    <w:rsid w:val="00661ABF"/>
    <w:rsid w:val="00661C5C"/>
    <w:rsid w:val="00661FE8"/>
    <w:rsid w:val="00663183"/>
    <w:rsid w:val="006633D8"/>
    <w:rsid w:val="00663845"/>
    <w:rsid w:val="00663A27"/>
    <w:rsid w:val="006652FD"/>
    <w:rsid w:val="006675C7"/>
    <w:rsid w:val="006678FF"/>
    <w:rsid w:val="00671BDC"/>
    <w:rsid w:val="00673901"/>
    <w:rsid w:val="0067461F"/>
    <w:rsid w:val="00680EF4"/>
    <w:rsid w:val="006811D5"/>
    <w:rsid w:val="006824E8"/>
    <w:rsid w:val="00682D80"/>
    <w:rsid w:val="00683C39"/>
    <w:rsid w:val="00683DC6"/>
    <w:rsid w:val="00684A73"/>
    <w:rsid w:val="006879A3"/>
    <w:rsid w:val="00691E13"/>
    <w:rsid w:val="00691E68"/>
    <w:rsid w:val="00693FC2"/>
    <w:rsid w:val="0069618B"/>
    <w:rsid w:val="006965D2"/>
    <w:rsid w:val="006A1084"/>
    <w:rsid w:val="006B3028"/>
    <w:rsid w:val="006C2D5E"/>
    <w:rsid w:val="006C319E"/>
    <w:rsid w:val="006C7364"/>
    <w:rsid w:val="006C7DFA"/>
    <w:rsid w:val="006D016D"/>
    <w:rsid w:val="006D017A"/>
    <w:rsid w:val="006D0656"/>
    <w:rsid w:val="006D0839"/>
    <w:rsid w:val="006D09DE"/>
    <w:rsid w:val="006D229F"/>
    <w:rsid w:val="006D22EE"/>
    <w:rsid w:val="006D2696"/>
    <w:rsid w:val="006D2B77"/>
    <w:rsid w:val="006D2F73"/>
    <w:rsid w:val="006D40A3"/>
    <w:rsid w:val="006D656C"/>
    <w:rsid w:val="006D6BD8"/>
    <w:rsid w:val="006E792F"/>
    <w:rsid w:val="006E7DF2"/>
    <w:rsid w:val="006F02C2"/>
    <w:rsid w:val="006F1234"/>
    <w:rsid w:val="006F145F"/>
    <w:rsid w:val="006F2B4D"/>
    <w:rsid w:val="006F3CB7"/>
    <w:rsid w:val="006F4575"/>
    <w:rsid w:val="006F5BD8"/>
    <w:rsid w:val="006F6914"/>
    <w:rsid w:val="006F6A0E"/>
    <w:rsid w:val="007006E5"/>
    <w:rsid w:val="0070231D"/>
    <w:rsid w:val="00702F05"/>
    <w:rsid w:val="00703339"/>
    <w:rsid w:val="00704169"/>
    <w:rsid w:val="00707650"/>
    <w:rsid w:val="0070766F"/>
    <w:rsid w:val="00713290"/>
    <w:rsid w:val="00713952"/>
    <w:rsid w:val="00713ED1"/>
    <w:rsid w:val="0071438D"/>
    <w:rsid w:val="00714F34"/>
    <w:rsid w:val="0071540B"/>
    <w:rsid w:val="00715C83"/>
    <w:rsid w:val="00717E51"/>
    <w:rsid w:val="00720D9C"/>
    <w:rsid w:val="00724837"/>
    <w:rsid w:val="00726A53"/>
    <w:rsid w:val="00727C39"/>
    <w:rsid w:val="00732F1F"/>
    <w:rsid w:val="0073499C"/>
    <w:rsid w:val="00734CFF"/>
    <w:rsid w:val="0073644D"/>
    <w:rsid w:val="0073726E"/>
    <w:rsid w:val="00737764"/>
    <w:rsid w:val="00742140"/>
    <w:rsid w:val="007427DF"/>
    <w:rsid w:val="00743624"/>
    <w:rsid w:val="007471A5"/>
    <w:rsid w:val="00747227"/>
    <w:rsid w:val="00752AF4"/>
    <w:rsid w:val="00754E52"/>
    <w:rsid w:val="00760089"/>
    <w:rsid w:val="0076011D"/>
    <w:rsid w:val="00760C78"/>
    <w:rsid w:val="0076120B"/>
    <w:rsid w:val="007618A8"/>
    <w:rsid w:val="0076371B"/>
    <w:rsid w:val="00764E55"/>
    <w:rsid w:val="00766C03"/>
    <w:rsid w:val="007678B1"/>
    <w:rsid w:val="007731CB"/>
    <w:rsid w:val="007735A8"/>
    <w:rsid w:val="007740A1"/>
    <w:rsid w:val="00774B78"/>
    <w:rsid w:val="00775C81"/>
    <w:rsid w:val="00776D67"/>
    <w:rsid w:val="00777AAD"/>
    <w:rsid w:val="00781B1A"/>
    <w:rsid w:val="007833E1"/>
    <w:rsid w:val="00783A18"/>
    <w:rsid w:val="0078574C"/>
    <w:rsid w:val="0078713E"/>
    <w:rsid w:val="00787AEB"/>
    <w:rsid w:val="0079060B"/>
    <w:rsid w:val="007935DA"/>
    <w:rsid w:val="007939BE"/>
    <w:rsid w:val="00795553"/>
    <w:rsid w:val="00795635"/>
    <w:rsid w:val="00796181"/>
    <w:rsid w:val="007A002F"/>
    <w:rsid w:val="007A0720"/>
    <w:rsid w:val="007A0D73"/>
    <w:rsid w:val="007A0E89"/>
    <w:rsid w:val="007A2E54"/>
    <w:rsid w:val="007A36A7"/>
    <w:rsid w:val="007A4024"/>
    <w:rsid w:val="007A5510"/>
    <w:rsid w:val="007A55B2"/>
    <w:rsid w:val="007A7C14"/>
    <w:rsid w:val="007B18DA"/>
    <w:rsid w:val="007B28F7"/>
    <w:rsid w:val="007B37CB"/>
    <w:rsid w:val="007B3D7A"/>
    <w:rsid w:val="007B43A8"/>
    <w:rsid w:val="007B621E"/>
    <w:rsid w:val="007B6454"/>
    <w:rsid w:val="007B656D"/>
    <w:rsid w:val="007B6B3B"/>
    <w:rsid w:val="007B6E0F"/>
    <w:rsid w:val="007C0898"/>
    <w:rsid w:val="007C2108"/>
    <w:rsid w:val="007C4577"/>
    <w:rsid w:val="007C658E"/>
    <w:rsid w:val="007D3ACD"/>
    <w:rsid w:val="007D505C"/>
    <w:rsid w:val="007D547A"/>
    <w:rsid w:val="007D5B03"/>
    <w:rsid w:val="007D6C31"/>
    <w:rsid w:val="007D7CE2"/>
    <w:rsid w:val="007E42B4"/>
    <w:rsid w:val="007F2BC6"/>
    <w:rsid w:val="007F3EBB"/>
    <w:rsid w:val="007F40E4"/>
    <w:rsid w:val="007F6C12"/>
    <w:rsid w:val="0080562C"/>
    <w:rsid w:val="00806F32"/>
    <w:rsid w:val="008120DC"/>
    <w:rsid w:val="00814F64"/>
    <w:rsid w:val="00815286"/>
    <w:rsid w:val="0081754B"/>
    <w:rsid w:val="008201AB"/>
    <w:rsid w:val="00821432"/>
    <w:rsid w:val="00823CEB"/>
    <w:rsid w:val="008254F1"/>
    <w:rsid w:val="00827596"/>
    <w:rsid w:val="0083135F"/>
    <w:rsid w:val="00833E82"/>
    <w:rsid w:val="00834218"/>
    <w:rsid w:val="008344A2"/>
    <w:rsid w:val="008359D9"/>
    <w:rsid w:val="00835C04"/>
    <w:rsid w:val="00835E18"/>
    <w:rsid w:val="00836136"/>
    <w:rsid w:val="00836231"/>
    <w:rsid w:val="0083681F"/>
    <w:rsid w:val="0083782A"/>
    <w:rsid w:val="00837CED"/>
    <w:rsid w:val="00842505"/>
    <w:rsid w:val="00844EAD"/>
    <w:rsid w:val="008468B5"/>
    <w:rsid w:val="00846FF0"/>
    <w:rsid w:val="00847792"/>
    <w:rsid w:val="0085128C"/>
    <w:rsid w:val="008535BB"/>
    <w:rsid w:val="00857311"/>
    <w:rsid w:val="0086034B"/>
    <w:rsid w:val="00862209"/>
    <w:rsid w:val="00862E5F"/>
    <w:rsid w:val="00864C78"/>
    <w:rsid w:val="00871FFC"/>
    <w:rsid w:val="008735AD"/>
    <w:rsid w:val="00877007"/>
    <w:rsid w:val="00877044"/>
    <w:rsid w:val="008779B4"/>
    <w:rsid w:val="00880EAA"/>
    <w:rsid w:val="00882076"/>
    <w:rsid w:val="00890AEE"/>
    <w:rsid w:val="0089262D"/>
    <w:rsid w:val="008939A9"/>
    <w:rsid w:val="0089410E"/>
    <w:rsid w:val="00894556"/>
    <w:rsid w:val="00896A9F"/>
    <w:rsid w:val="008972E7"/>
    <w:rsid w:val="00897B57"/>
    <w:rsid w:val="00897BCF"/>
    <w:rsid w:val="008A10EC"/>
    <w:rsid w:val="008A321D"/>
    <w:rsid w:val="008A324B"/>
    <w:rsid w:val="008A4016"/>
    <w:rsid w:val="008A497A"/>
    <w:rsid w:val="008A5511"/>
    <w:rsid w:val="008A5898"/>
    <w:rsid w:val="008A63BF"/>
    <w:rsid w:val="008A7C5A"/>
    <w:rsid w:val="008B1C0A"/>
    <w:rsid w:val="008B2192"/>
    <w:rsid w:val="008B3B04"/>
    <w:rsid w:val="008B536E"/>
    <w:rsid w:val="008B6051"/>
    <w:rsid w:val="008C2847"/>
    <w:rsid w:val="008C3654"/>
    <w:rsid w:val="008C3A11"/>
    <w:rsid w:val="008C486A"/>
    <w:rsid w:val="008C48CB"/>
    <w:rsid w:val="008C5E9B"/>
    <w:rsid w:val="008C61EF"/>
    <w:rsid w:val="008D2360"/>
    <w:rsid w:val="008D2985"/>
    <w:rsid w:val="008D5D1C"/>
    <w:rsid w:val="008D64EA"/>
    <w:rsid w:val="008D661B"/>
    <w:rsid w:val="008D6B08"/>
    <w:rsid w:val="008D6CAC"/>
    <w:rsid w:val="008D727D"/>
    <w:rsid w:val="008D7728"/>
    <w:rsid w:val="008E0089"/>
    <w:rsid w:val="008E0BF6"/>
    <w:rsid w:val="008E1405"/>
    <w:rsid w:val="008E1DD5"/>
    <w:rsid w:val="008E2C93"/>
    <w:rsid w:val="008E32C4"/>
    <w:rsid w:val="008E5705"/>
    <w:rsid w:val="008E6449"/>
    <w:rsid w:val="008E78CA"/>
    <w:rsid w:val="008F028D"/>
    <w:rsid w:val="008F03AB"/>
    <w:rsid w:val="008F13CF"/>
    <w:rsid w:val="008F22B1"/>
    <w:rsid w:val="008F2868"/>
    <w:rsid w:val="008F447C"/>
    <w:rsid w:val="008F5D3D"/>
    <w:rsid w:val="009022C5"/>
    <w:rsid w:val="00903357"/>
    <w:rsid w:val="009072C7"/>
    <w:rsid w:val="009103C6"/>
    <w:rsid w:val="00911B7E"/>
    <w:rsid w:val="00913662"/>
    <w:rsid w:val="00917684"/>
    <w:rsid w:val="00920A1B"/>
    <w:rsid w:val="00920EAA"/>
    <w:rsid w:val="00921824"/>
    <w:rsid w:val="00921A9D"/>
    <w:rsid w:val="00921E00"/>
    <w:rsid w:val="0092220A"/>
    <w:rsid w:val="009222E4"/>
    <w:rsid w:val="00924509"/>
    <w:rsid w:val="009255C1"/>
    <w:rsid w:val="00926F87"/>
    <w:rsid w:val="00933234"/>
    <w:rsid w:val="00933877"/>
    <w:rsid w:val="0093436B"/>
    <w:rsid w:val="0093487A"/>
    <w:rsid w:val="0093567E"/>
    <w:rsid w:val="00936422"/>
    <w:rsid w:val="00936ECC"/>
    <w:rsid w:val="00945327"/>
    <w:rsid w:val="00945E8F"/>
    <w:rsid w:val="009467C8"/>
    <w:rsid w:val="0094778A"/>
    <w:rsid w:val="00953A07"/>
    <w:rsid w:val="00954973"/>
    <w:rsid w:val="0095623D"/>
    <w:rsid w:val="00961743"/>
    <w:rsid w:val="00963B3D"/>
    <w:rsid w:val="00965537"/>
    <w:rsid w:val="009663E5"/>
    <w:rsid w:val="00966DD8"/>
    <w:rsid w:val="00971506"/>
    <w:rsid w:val="00973DD5"/>
    <w:rsid w:val="00974B61"/>
    <w:rsid w:val="00976003"/>
    <w:rsid w:val="00981450"/>
    <w:rsid w:val="0098177F"/>
    <w:rsid w:val="009825AE"/>
    <w:rsid w:val="00982D57"/>
    <w:rsid w:val="009837C2"/>
    <w:rsid w:val="009852E7"/>
    <w:rsid w:val="00985CBD"/>
    <w:rsid w:val="00986A59"/>
    <w:rsid w:val="00987598"/>
    <w:rsid w:val="00992573"/>
    <w:rsid w:val="009945AB"/>
    <w:rsid w:val="009A0CFD"/>
    <w:rsid w:val="009A1180"/>
    <w:rsid w:val="009A24AE"/>
    <w:rsid w:val="009A5D86"/>
    <w:rsid w:val="009A6607"/>
    <w:rsid w:val="009A7084"/>
    <w:rsid w:val="009B17FF"/>
    <w:rsid w:val="009B2AF8"/>
    <w:rsid w:val="009C5775"/>
    <w:rsid w:val="009C6954"/>
    <w:rsid w:val="009C72DA"/>
    <w:rsid w:val="009D4C7E"/>
    <w:rsid w:val="009D7287"/>
    <w:rsid w:val="009D7907"/>
    <w:rsid w:val="009E3783"/>
    <w:rsid w:val="009E4C6C"/>
    <w:rsid w:val="009E549F"/>
    <w:rsid w:val="009F19AA"/>
    <w:rsid w:val="009F23C9"/>
    <w:rsid w:val="009F2EC0"/>
    <w:rsid w:val="009F35F6"/>
    <w:rsid w:val="009F5159"/>
    <w:rsid w:val="009F59BC"/>
    <w:rsid w:val="00A012B3"/>
    <w:rsid w:val="00A01887"/>
    <w:rsid w:val="00A105DA"/>
    <w:rsid w:val="00A11760"/>
    <w:rsid w:val="00A117DE"/>
    <w:rsid w:val="00A1220D"/>
    <w:rsid w:val="00A12365"/>
    <w:rsid w:val="00A16378"/>
    <w:rsid w:val="00A178F7"/>
    <w:rsid w:val="00A17B86"/>
    <w:rsid w:val="00A17D3E"/>
    <w:rsid w:val="00A2071B"/>
    <w:rsid w:val="00A20993"/>
    <w:rsid w:val="00A21B3C"/>
    <w:rsid w:val="00A22208"/>
    <w:rsid w:val="00A236E4"/>
    <w:rsid w:val="00A23D38"/>
    <w:rsid w:val="00A2494E"/>
    <w:rsid w:val="00A278A0"/>
    <w:rsid w:val="00A31C23"/>
    <w:rsid w:val="00A321AB"/>
    <w:rsid w:val="00A323FF"/>
    <w:rsid w:val="00A36BF3"/>
    <w:rsid w:val="00A41857"/>
    <w:rsid w:val="00A41A3B"/>
    <w:rsid w:val="00A41D56"/>
    <w:rsid w:val="00A41ED2"/>
    <w:rsid w:val="00A46F4A"/>
    <w:rsid w:val="00A52511"/>
    <w:rsid w:val="00A54A98"/>
    <w:rsid w:val="00A60740"/>
    <w:rsid w:val="00A612C8"/>
    <w:rsid w:val="00A62125"/>
    <w:rsid w:val="00A63844"/>
    <w:rsid w:val="00A64B0B"/>
    <w:rsid w:val="00A65306"/>
    <w:rsid w:val="00A66C14"/>
    <w:rsid w:val="00A66FF8"/>
    <w:rsid w:val="00A67E6A"/>
    <w:rsid w:val="00A73307"/>
    <w:rsid w:val="00A73F37"/>
    <w:rsid w:val="00A742A3"/>
    <w:rsid w:val="00A76170"/>
    <w:rsid w:val="00A76A61"/>
    <w:rsid w:val="00A80BDF"/>
    <w:rsid w:val="00A81794"/>
    <w:rsid w:val="00A81C66"/>
    <w:rsid w:val="00A81FAC"/>
    <w:rsid w:val="00A834BA"/>
    <w:rsid w:val="00A83FA8"/>
    <w:rsid w:val="00A84CF9"/>
    <w:rsid w:val="00A86849"/>
    <w:rsid w:val="00A9192A"/>
    <w:rsid w:val="00A9548D"/>
    <w:rsid w:val="00A96CB9"/>
    <w:rsid w:val="00A97FCD"/>
    <w:rsid w:val="00AA0F60"/>
    <w:rsid w:val="00AA1EA9"/>
    <w:rsid w:val="00AA4045"/>
    <w:rsid w:val="00AA476C"/>
    <w:rsid w:val="00AA5248"/>
    <w:rsid w:val="00AA59CB"/>
    <w:rsid w:val="00AA7B27"/>
    <w:rsid w:val="00AB1969"/>
    <w:rsid w:val="00AB1F94"/>
    <w:rsid w:val="00AB2B05"/>
    <w:rsid w:val="00AB34F8"/>
    <w:rsid w:val="00AC01AB"/>
    <w:rsid w:val="00AC091F"/>
    <w:rsid w:val="00AC0F12"/>
    <w:rsid w:val="00AC0FB3"/>
    <w:rsid w:val="00AC5E45"/>
    <w:rsid w:val="00AD07EA"/>
    <w:rsid w:val="00AD0900"/>
    <w:rsid w:val="00AD32EE"/>
    <w:rsid w:val="00AD3F0A"/>
    <w:rsid w:val="00AD4C45"/>
    <w:rsid w:val="00AD7BA1"/>
    <w:rsid w:val="00AE1F0D"/>
    <w:rsid w:val="00AE20A8"/>
    <w:rsid w:val="00AE28DE"/>
    <w:rsid w:val="00AE41E8"/>
    <w:rsid w:val="00AF06AA"/>
    <w:rsid w:val="00AF1DCF"/>
    <w:rsid w:val="00AF4321"/>
    <w:rsid w:val="00AF4A4D"/>
    <w:rsid w:val="00AF63A2"/>
    <w:rsid w:val="00AF6451"/>
    <w:rsid w:val="00AF6B5A"/>
    <w:rsid w:val="00AF79D3"/>
    <w:rsid w:val="00B029F7"/>
    <w:rsid w:val="00B02E8E"/>
    <w:rsid w:val="00B03470"/>
    <w:rsid w:val="00B03BC7"/>
    <w:rsid w:val="00B03C1E"/>
    <w:rsid w:val="00B04466"/>
    <w:rsid w:val="00B077F6"/>
    <w:rsid w:val="00B11DE6"/>
    <w:rsid w:val="00B1304B"/>
    <w:rsid w:val="00B146BF"/>
    <w:rsid w:val="00B1530A"/>
    <w:rsid w:val="00B158C4"/>
    <w:rsid w:val="00B165A9"/>
    <w:rsid w:val="00B179FA"/>
    <w:rsid w:val="00B2027C"/>
    <w:rsid w:val="00B25221"/>
    <w:rsid w:val="00B26289"/>
    <w:rsid w:val="00B26DE0"/>
    <w:rsid w:val="00B31471"/>
    <w:rsid w:val="00B31B34"/>
    <w:rsid w:val="00B3457D"/>
    <w:rsid w:val="00B346C9"/>
    <w:rsid w:val="00B34817"/>
    <w:rsid w:val="00B374E6"/>
    <w:rsid w:val="00B37715"/>
    <w:rsid w:val="00B40116"/>
    <w:rsid w:val="00B40306"/>
    <w:rsid w:val="00B42A3A"/>
    <w:rsid w:val="00B46DDC"/>
    <w:rsid w:val="00B47564"/>
    <w:rsid w:val="00B478EE"/>
    <w:rsid w:val="00B52EEA"/>
    <w:rsid w:val="00B537C2"/>
    <w:rsid w:val="00B53A02"/>
    <w:rsid w:val="00B53E1B"/>
    <w:rsid w:val="00B57737"/>
    <w:rsid w:val="00B614C5"/>
    <w:rsid w:val="00B619C9"/>
    <w:rsid w:val="00B6242C"/>
    <w:rsid w:val="00B6293B"/>
    <w:rsid w:val="00B64449"/>
    <w:rsid w:val="00B66DB1"/>
    <w:rsid w:val="00B75C55"/>
    <w:rsid w:val="00B76A93"/>
    <w:rsid w:val="00B80B6B"/>
    <w:rsid w:val="00B81D44"/>
    <w:rsid w:val="00B86E9B"/>
    <w:rsid w:val="00B87F90"/>
    <w:rsid w:val="00B90D0B"/>
    <w:rsid w:val="00B912F8"/>
    <w:rsid w:val="00B919B8"/>
    <w:rsid w:val="00B9385C"/>
    <w:rsid w:val="00B96B97"/>
    <w:rsid w:val="00B97C21"/>
    <w:rsid w:val="00BA21D3"/>
    <w:rsid w:val="00BA250E"/>
    <w:rsid w:val="00BA2CF8"/>
    <w:rsid w:val="00BA3538"/>
    <w:rsid w:val="00BA6486"/>
    <w:rsid w:val="00BA6538"/>
    <w:rsid w:val="00BA6A32"/>
    <w:rsid w:val="00BA71A0"/>
    <w:rsid w:val="00BB0111"/>
    <w:rsid w:val="00BB0CBC"/>
    <w:rsid w:val="00BB0CC5"/>
    <w:rsid w:val="00BB38C0"/>
    <w:rsid w:val="00BB6047"/>
    <w:rsid w:val="00BB64C8"/>
    <w:rsid w:val="00BC29C9"/>
    <w:rsid w:val="00BC4080"/>
    <w:rsid w:val="00BC4D02"/>
    <w:rsid w:val="00BC56AB"/>
    <w:rsid w:val="00BC6DE0"/>
    <w:rsid w:val="00BC716E"/>
    <w:rsid w:val="00BC7FC0"/>
    <w:rsid w:val="00BD298F"/>
    <w:rsid w:val="00BD302A"/>
    <w:rsid w:val="00BD3364"/>
    <w:rsid w:val="00BD3B3E"/>
    <w:rsid w:val="00BD4EB7"/>
    <w:rsid w:val="00BD597A"/>
    <w:rsid w:val="00BD7044"/>
    <w:rsid w:val="00BD74D5"/>
    <w:rsid w:val="00BE37AF"/>
    <w:rsid w:val="00BE4911"/>
    <w:rsid w:val="00BE60DD"/>
    <w:rsid w:val="00BE75BC"/>
    <w:rsid w:val="00BF21BF"/>
    <w:rsid w:val="00BF2330"/>
    <w:rsid w:val="00BF3554"/>
    <w:rsid w:val="00BF5FA3"/>
    <w:rsid w:val="00C0175E"/>
    <w:rsid w:val="00C055A3"/>
    <w:rsid w:val="00C11F23"/>
    <w:rsid w:val="00C1281B"/>
    <w:rsid w:val="00C13109"/>
    <w:rsid w:val="00C15BB7"/>
    <w:rsid w:val="00C16024"/>
    <w:rsid w:val="00C16080"/>
    <w:rsid w:val="00C1706E"/>
    <w:rsid w:val="00C20194"/>
    <w:rsid w:val="00C20B25"/>
    <w:rsid w:val="00C3106D"/>
    <w:rsid w:val="00C31190"/>
    <w:rsid w:val="00C32578"/>
    <w:rsid w:val="00C34F25"/>
    <w:rsid w:val="00C37513"/>
    <w:rsid w:val="00C40706"/>
    <w:rsid w:val="00C4311E"/>
    <w:rsid w:val="00C44C2C"/>
    <w:rsid w:val="00C4536F"/>
    <w:rsid w:val="00C4717C"/>
    <w:rsid w:val="00C47ED3"/>
    <w:rsid w:val="00C50C15"/>
    <w:rsid w:val="00C51E5F"/>
    <w:rsid w:val="00C52500"/>
    <w:rsid w:val="00C546FD"/>
    <w:rsid w:val="00C55AB9"/>
    <w:rsid w:val="00C56812"/>
    <w:rsid w:val="00C569DE"/>
    <w:rsid w:val="00C62F2F"/>
    <w:rsid w:val="00C63C11"/>
    <w:rsid w:val="00C644BF"/>
    <w:rsid w:val="00C64F69"/>
    <w:rsid w:val="00C65CB0"/>
    <w:rsid w:val="00C67CC4"/>
    <w:rsid w:val="00C70141"/>
    <w:rsid w:val="00C711DD"/>
    <w:rsid w:val="00C71AE1"/>
    <w:rsid w:val="00C720A8"/>
    <w:rsid w:val="00C72906"/>
    <w:rsid w:val="00C753D7"/>
    <w:rsid w:val="00C75887"/>
    <w:rsid w:val="00C816ED"/>
    <w:rsid w:val="00C825FA"/>
    <w:rsid w:val="00C82B8D"/>
    <w:rsid w:val="00C83252"/>
    <w:rsid w:val="00C87B69"/>
    <w:rsid w:val="00C87F5B"/>
    <w:rsid w:val="00C90AC2"/>
    <w:rsid w:val="00C91101"/>
    <w:rsid w:val="00C92472"/>
    <w:rsid w:val="00C92EE9"/>
    <w:rsid w:val="00C93C36"/>
    <w:rsid w:val="00CA0773"/>
    <w:rsid w:val="00CA0953"/>
    <w:rsid w:val="00CA0F5F"/>
    <w:rsid w:val="00CA201E"/>
    <w:rsid w:val="00CA2AF6"/>
    <w:rsid w:val="00CA343F"/>
    <w:rsid w:val="00CA3F90"/>
    <w:rsid w:val="00CA45C5"/>
    <w:rsid w:val="00CA5B11"/>
    <w:rsid w:val="00CB0464"/>
    <w:rsid w:val="00CB2AF2"/>
    <w:rsid w:val="00CB3F03"/>
    <w:rsid w:val="00CB4A25"/>
    <w:rsid w:val="00CC57BE"/>
    <w:rsid w:val="00CC58E6"/>
    <w:rsid w:val="00CC6F09"/>
    <w:rsid w:val="00CC79B1"/>
    <w:rsid w:val="00CD041A"/>
    <w:rsid w:val="00CD0500"/>
    <w:rsid w:val="00CD0E6A"/>
    <w:rsid w:val="00CD131F"/>
    <w:rsid w:val="00CD200F"/>
    <w:rsid w:val="00CD394D"/>
    <w:rsid w:val="00CD604D"/>
    <w:rsid w:val="00CD6F99"/>
    <w:rsid w:val="00CE16D3"/>
    <w:rsid w:val="00CE1CBD"/>
    <w:rsid w:val="00CE2720"/>
    <w:rsid w:val="00CE409F"/>
    <w:rsid w:val="00CE5BF0"/>
    <w:rsid w:val="00CE6B63"/>
    <w:rsid w:val="00CE7254"/>
    <w:rsid w:val="00CE775D"/>
    <w:rsid w:val="00CE7868"/>
    <w:rsid w:val="00CF0872"/>
    <w:rsid w:val="00CF09EF"/>
    <w:rsid w:val="00CF14C7"/>
    <w:rsid w:val="00CF1506"/>
    <w:rsid w:val="00CF17F3"/>
    <w:rsid w:val="00CF1834"/>
    <w:rsid w:val="00D01C3D"/>
    <w:rsid w:val="00D03331"/>
    <w:rsid w:val="00D03433"/>
    <w:rsid w:val="00D05020"/>
    <w:rsid w:val="00D11EB1"/>
    <w:rsid w:val="00D13754"/>
    <w:rsid w:val="00D157EA"/>
    <w:rsid w:val="00D21238"/>
    <w:rsid w:val="00D22EB3"/>
    <w:rsid w:val="00D26C4A"/>
    <w:rsid w:val="00D30BAE"/>
    <w:rsid w:val="00D3250E"/>
    <w:rsid w:val="00D33E19"/>
    <w:rsid w:val="00D355E3"/>
    <w:rsid w:val="00D3785C"/>
    <w:rsid w:val="00D414E3"/>
    <w:rsid w:val="00D44444"/>
    <w:rsid w:val="00D458F9"/>
    <w:rsid w:val="00D45C9E"/>
    <w:rsid w:val="00D526FC"/>
    <w:rsid w:val="00D538A6"/>
    <w:rsid w:val="00D55025"/>
    <w:rsid w:val="00D55A6E"/>
    <w:rsid w:val="00D57DF7"/>
    <w:rsid w:val="00D57F8B"/>
    <w:rsid w:val="00D609E0"/>
    <w:rsid w:val="00D60B03"/>
    <w:rsid w:val="00D62D4D"/>
    <w:rsid w:val="00D670E8"/>
    <w:rsid w:val="00D6798E"/>
    <w:rsid w:val="00D72FE3"/>
    <w:rsid w:val="00D77DA2"/>
    <w:rsid w:val="00D82116"/>
    <w:rsid w:val="00D82A42"/>
    <w:rsid w:val="00D83FB8"/>
    <w:rsid w:val="00D8638D"/>
    <w:rsid w:val="00D93681"/>
    <w:rsid w:val="00D93FE0"/>
    <w:rsid w:val="00D95970"/>
    <w:rsid w:val="00DA040D"/>
    <w:rsid w:val="00DA0AC1"/>
    <w:rsid w:val="00DA212F"/>
    <w:rsid w:val="00DA313D"/>
    <w:rsid w:val="00DA3430"/>
    <w:rsid w:val="00DA344D"/>
    <w:rsid w:val="00DA4848"/>
    <w:rsid w:val="00DA6141"/>
    <w:rsid w:val="00DA70FB"/>
    <w:rsid w:val="00DB1526"/>
    <w:rsid w:val="00DB3894"/>
    <w:rsid w:val="00DB4F11"/>
    <w:rsid w:val="00DB72F5"/>
    <w:rsid w:val="00DC02EE"/>
    <w:rsid w:val="00DC0C5D"/>
    <w:rsid w:val="00DC1EB8"/>
    <w:rsid w:val="00DC36E5"/>
    <w:rsid w:val="00DC60D3"/>
    <w:rsid w:val="00DC6D57"/>
    <w:rsid w:val="00DC7DF2"/>
    <w:rsid w:val="00DD03FD"/>
    <w:rsid w:val="00DD17FE"/>
    <w:rsid w:val="00DD3F1F"/>
    <w:rsid w:val="00DD466E"/>
    <w:rsid w:val="00DD6D55"/>
    <w:rsid w:val="00DD6F34"/>
    <w:rsid w:val="00DD7E97"/>
    <w:rsid w:val="00DE03AB"/>
    <w:rsid w:val="00DE066F"/>
    <w:rsid w:val="00DE521E"/>
    <w:rsid w:val="00DE659A"/>
    <w:rsid w:val="00DF1462"/>
    <w:rsid w:val="00DF423C"/>
    <w:rsid w:val="00DF487D"/>
    <w:rsid w:val="00DF6BCC"/>
    <w:rsid w:val="00DF6CBE"/>
    <w:rsid w:val="00E00F9E"/>
    <w:rsid w:val="00E02A2D"/>
    <w:rsid w:val="00E033A4"/>
    <w:rsid w:val="00E05502"/>
    <w:rsid w:val="00E05C2D"/>
    <w:rsid w:val="00E13BA8"/>
    <w:rsid w:val="00E159B4"/>
    <w:rsid w:val="00E16F3E"/>
    <w:rsid w:val="00E2154B"/>
    <w:rsid w:val="00E25586"/>
    <w:rsid w:val="00E25BCD"/>
    <w:rsid w:val="00E266B5"/>
    <w:rsid w:val="00E26CBE"/>
    <w:rsid w:val="00E27CEE"/>
    <w:rsid w:val="00E30E61"/>
    <w:rsid w:val="00E31AC6"/>
    <w:rsid w:val="00E33B17"/>
    <w:rsid w:val="00E33B7C"/>
    <w:rsid w:val="00E34230"/>
    <w:rsid w:val="00E3566B"/>
    <w:rsid w:val="00E35A83"/>
    <w:rsid w:val="00E363C7"/>
    <w:rsid w:val="00E4041A"/>
    <w:rsid w:val="00E4087C"/>
    <w:rsid w:val="00E43685"/>
    <w:rsid w:val="00E43B8A"/>
    <w:rsid w:val="00E43EC9"/>
    <w:rsid w:val="00E441F0"/>
    <w:rsid w:val="00E44C10"/>
    <w:rsid w:val="00E475C4"/>
    <w:rsid w:val="00E47A00"/>
    <w:rsid w:val="00E519DB"/>
    <w:rsid w:val="00E5245A"/>
    <w:rsid w:val="00E53396"/>
    <w:rsid w:val="00E60262"/>
    <w:rsid w:val="00E6501E"/>
    <w:rsid w:val="00E667A5"/>
    <w:rsid w:val="00E72F50"/>
    <w:rsid w:val="00E74990"/>
    <w:rsid w:val="00E74C77"/>
    <w:rsid w:val="00E767FD"/>
    <w:rsid w:val="00E81912"/>
    <w:rsid w:val="00E81FF2"/>
    <w:rsid w:val="00E8378E"/>
    <w:rsid w:val="00E8383E"/>
    <w:rsid w:val="00E84F1E"/>
    <w:rsid w:val="00E8704F"/>
    <w:rsid w:val="00E87634"/>
    <w:rsid w:val="00E91F0F"/>
    <w:rsid w:val="00E94612"/>
    <w:rsid w:val="00E946E0"/>
    <w:rsid w:val="00E95025"/>
    <w:rsid w:val="00E95E97"/>
    <w:rsid w:val="00E9682F"/>
    <w:rsid w:val="00EA08BE"/>
    <w:rsid w:val="00EA1153"/>
    <w:rsid w:val="00EA197F"/>
    <w:rsid w:val="00EA3166"/>
    <w:rsid w:val="00EA3459"/>
    <w:rsid w:val="00EA5CF2"/>
    <w:rsid w:val="00EA6066"/>
    <w:rsid w:val="00EB07D6"/>
    <w:rsid w:val="00EB08B6"/>
    <w:rsid w:val="00EB1BCC"/>
    <w:rsid w:val="00EB2C57"/>
    <w:rsid w:val="00EB3521"/>
    <w:rsid w:val="00EB464C"/>
    <w:rsid w:val="00EB4746"/>
    <w:rsid w:val="00EB4A43"/>
    <w:rsid w:val="00EB4B15"/>
    <w:rsid w:val="00EB5765"/>
    <w:rsid w:val="00EB57AA"/>
    <w:rsid w:val="00EB641A"/>
    <w:rsid w:val="00EB757F"/>
    <w:rsid w:val="00EC1503"/>
    <w:rsid w:val="00EC5386"/>
    <w:rsid w:val="00EC6D42"/>
    <w:rsid w:val="00ED176C"/>
    <w:rsid w:val="00ED5733"/>
    <w:rsid w:val="00ED5DD0"/>
    <w:rsid w:val="00ED78B3"/>
    <w:rsid w:val="00ED7DF5"/>
    <w:rsid w:val="00EE0D13"/>
    <w:rsid w:val="00EE1176"/>
    <w:rsid w:val="00EE22FF"/>
    <w:rsid w:val="00EF2C41"/>
    <w:rsid w:val="00EF31F5"/>
    <w:rsid w:val="00EF3FA3"/>
    <w:rsid w:val="00EF4295"/>
    <w:rsid w:val="00EF4C04"/>
    <w:rsid w:val="00EF5763"/>
    <w:rsid w:val="00EF7B96"/>
    <w:rsid w:val="00F010F1"/>
    <w:rsid w:val="00F01435"/>
    <w:rsid w:val="00F01526"/>
    <w:rsid w:val="00F02432"/>
    <w:rsid w:val="00F0331D"/>
    <w:rsid w:val="00F03AAB"/>
    <w:rsid w:val="00F043BE"/>
    <w:rsid w:val="00F04B84"/>
    <w:rsid w:val="00F100F2"/>
    <w:rsid w:val="00F13366"/>
    <w:rsid w:val="00F14746"/>
    <w:rsid w:val="00F153B8"/>
    <w:rsid w:val="00F15AB7"/>
    <w:rsid w:val="00F16924"/>
    <w:rsid w:val="00F17907"/>
    <w:rsid w:val="00F201B6"/>
    <w:rsid w:val="00F23CB6"/>
    <w:rsid w:val="00F252CA"/>
    <w:rsid w:val="00F278A9"/>
    <w:rsid w:val="00F27A28"/>
    <w:rsid w:val="00F34EAD"/>
    <w:rsid w:val="00F413E3"/>
    <w:rsid w:val="00F42E5C"/>
    <w:rsid w:val="00F444B8"/>
    <w:rsid w:val="00F45C11"/>
    <w:rsid w:val="00F50ACF"/>
    <w:rsid w:val="00F517AE"/>
    <w:rsid w:val="00F5328A"/>
    <w:rsid w:val="00F55338"/>
    <w:rsid w:val="00F56D58"/>
    <w:rsid w:val="00F570D3"/>
    <w:rsid w:val="00F60BFA"/>
    <w:rsid w:val="00F640C9"/>
    <w:rsid w:val="00F66229"/>
    <w:rsid w:val="00F6665C"/>
    <w:rsid w:val="00F725CE"/>
    <w:rsid w:val="00F73EA2"/>
    <w:rsid w:val="00F75386"/>
    <w:rsid w:val="00F825E3"/>
    <w:rsid w:val="00F82F24"/>
    <w:rsid w:val="00F838CB"/>
    <w:rsid w:val="00F84010"/>
    <w:rsid w:val="00F8413E"/>
    <w:rsid w:val="00F85E81"/>
    <w:rsid w:val="00F87576"/>
    <w:rsid w:val="00F900AF"/>
    <w:rsid w:val="00F92778"/>
    <w:rsid w:val="00F92AF4"/>
    <w:rsid w:val="00F931CE"/>
    <w:rsid w:val="00F93907"/>
    <w:rsid w:val="00F959B7"/>
    <w:rsid w:val="00FA2441"/>
    <w:rsid w:val="00FA26A8"/>
    <w:rsid w:val="00FA2CB2"/>
    <w:rsid w:val="00FA32A6"/>
    <w:rsid w:val="00FA4524"/>
    <w:rsid w:val="00FA5CEF"/>
    <w:rsid w:val="00FA5FAE"/>
    <w:rsid w:val="00FB040B"/>
    <w:rsid w:val="00FB07CC"/>
    <w:rsid w:val="00FB0FD9"/>
    <w:rsid w:val="00FB1678"/>
    <w:rsid w:val="00FB4461"/>
    <w:rsid w:val="00FB462A"/>
    <w:rsid w:val="00FB4991"/>
    <w:rsid w:val="00FB5E69"/>
    <w:rsid w:val="00FC21FD"/>
    <w:rsid w:val="00FC5A20"/>
    <w:rsid w:val="00FC636F"/>
    <w:rsid w:val="00FC6FE4"/>
    <w:rsid w:val="00FD315E"/>
    <w:rsid w:val="00FD41E0"/>
    <w:rsid w:val="00FD6A09"/>
    <w:rsid w:val="00FE2C10"/>
    <w:rsid w:val="00FE4095"/>
    <w:rsid w:val="00FE40B3"/>
    <w:rsid w:val="00FE4115"/>
    <w:rsid w:val="00FE735C"/>
    <w:rsid w:val="00FF0070"/>
    <w:rsid w:val="00FF2899"/>
    <w:rsid w:val="00FF3ED4"/>
    <w:rsid w:val="00FF48BE"/>
    <w:rsid w:val="00FF6B43"/>
    <w:rsid w:val="00FF774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31007"/>
  <w15:chartTrackingRefBased/>
  <w15:docId w15:val="{4FBC32BA-627B-4147-9A0D-7B7E3528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6AC"/>
    <w:pPr>
      <w:spacing w:before="120"/>
      <w:jc w:val="both"/>
    </w:pPr>
  </w:style>
  <w:style w:type="paragraph" w:styleId="Heading1">
    <w:name w:val="heading 1"/>
    <w:basedOn w:val="ListParagraph"/>
    <w:next w:val="Normal"/>
    <w:link w:val="Heading1Char"/>
    <w:uiPriority w:val="9"/>
    <w:qFormat/>
    <w:rsid w:val="00B374E6"/>
    <w:pPr>
      <w:keepNext/>
      <w:keepLines/>
      <w:numPr>
        <w:numId w:val="11"/>
      </w:numPr>
      <w:spacing w:before="360"/>
      <w:ind w:left="357" w:hanging="357"/>
      <w:outlineLvl w:val="0"/>
    </w:pPr>
    <w:rPr>
      <w:b/>
      <w:bCs/>
      <w:sz w:val="28"/>
      <w:szCs w:val="28"/>
    </w:rPr>
  </w:style>
  <w:style w:type="paragraph" w:styleId="Heading2">
    <w:name w:val="heading 2"/>
    <w:basedOn w:val="ListParagraph"/>
    <w:next w:val="Normal"/>
    <w:link w:val="Heading2Char"/>
    <w:uiPriority w:val="9"/>
    <w:unhideWhenUsed/>
    <w:qFormat/>
    <w:rsid w:val="00B9385C"/>
    <w:pPr>
      <w:numPr>
        <w:ilvl w:val="1"/>
        <w:numId w:val="11"/>
      </w:numPr>
      <w:spacing w:before="240"/>
      <w:ind w:left="788" w:hanging="431"/>
      <w:outlineLvl w:val="1"/>
    </w:pPr>
    <w:rPr>
      <w:b/>
      <w:bCs/>
      <w:sz w:val="24"/>
      <w:szCs w:val="24"/>
    </w:rPr>
  </w:style>
  <w:style w:type="paragraph" w:styleId="Heading3">
    <w:name w:val="heading 3"/>
    <w:basedOn w:val="ListParagraph"/>
    <w:next w:val="Normal"/>
    <w:link w:val="Heading3Char"/>
    <w:uiPriority w:val="9"/>
    <w:unhideWhenUsed/>
    <w:qFormat/>
    <w:rsid w:val="005B7F57"/>
    <w:pPr>
      <w:keepNext/>
      <w:keepLines/>
      <w:numPr>
        <w:ilvl w:val="2"/>
        <w:numId w:val="11"/>
      </w:numPr>
      <w:spacing w:before="240"/>
      <w:ind w:left="1225" w:hanging="505"/>
      <w:outlineLvl w:val="2"/>
    </w:pPr>
    <w:rPr>
      <w:i/>
      <w:iCs/>
      <w:sz w:val="24"/>
      <w:szCs w:val="24"/>
    </w:rPr>
  </w:style>
  <w:style w:type="paragraph" w:styleId="Heading4">
    <w:name w:val="heading 4"/>
    <w:basedOn w:val="ListParagraph"/>
    <w:next w:val="Normal"/>
    <w:link w:val="Heading4Char"/>
    <w:uiPriority w:val="9"/>
    <w:unhideWhenUsed/>
    <w:qFormat/>
    <w:rsid w:val="00B374E6"/>
    <w:pPr>
      <w:keepNext/>
      <w:keepLines/>
      <w:numPr>
        <w:ilvl w:val="3"/>
        <w:numId w:val="11"/>
      </w:numPr>
      <w:spacing w:before="240"/>
      <w:ind w:left="1723" w:hanging="646"/>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7F"/>
    <w:pPr>
      <w:ind w:left="720"/>
      <w:contextualSpacing/>
    </w:pPr>
  </w:style>
  <w:style w:type="character" w:customStyle="1" w:styleId="Heading1Char">
    <w:name w:val="Heading 1 Char"/>
    <w:basedOn w:val="DefaultParagraphFont"/>
    <w:link w:val="Heading1"/>
    <w:uiPriority w:val="9"/>
    <w:rsid w:val="00B374E6"/>
    <w:rPr>
      <w:b/>
      <w:bCs/>
      <w:sz w:val="28"/>
      <w:szCs w:val="28"/>
    </w:rPr>
  </w:style>
  <w:style w:type="character" w:customStyle="1" w:styleId="Heading2Char">
    <w:name w:val="Heading 2 Char"/>
    <w:basedOn w:val="DefaultParagraphFont"/>
    <w:link w:val="Heading2"/>
    <w:uiPriority w:val="9"/>
    <w:rsid w:val="00B9385C"/>
    <w:rPr>
      <w:b/>
      <w:bCs/>
      <w:sz w:val="24"/>
      <w:szCs w:val="24"/>
    </w:rPr>
  </w:style>
  <w:style w:type="character" w:customStyle="1" w:styleId="Heading3Char">
    <w:name w:val="Heading 3 Char"/>
    <w:basedOn w:val="DefaultParagraphFont"/>
    <w:link w:val="Heading3"/>
    <w:uiPriority w:val="9"/>
    <w:rsid w:val="005B7F57"/>
    <w:rPr>
      <w:i/>
      <w:iCs/>
      <w:sz w:val="24"/>
      <w:szCs w:val="24"/>
    </w:rPr>
  </w:style>
  <w:style w:type="character" w:customStyle="1" w:styleId="Heading4Char">
    <w:name w:val="Heading 4 Char"/>
    <w:basedOn w:val="DefaultParagraphFont"/>
    <w:link w:val="Heading4"/>
    <w:uiPriority w:val="9"/>
    <w:rsid w:val="00B374E6"/>
    <w:rPr>
      <w:i/>
      <w:iCs/>
    </w:rPr>
  </w:style>
  <w:style w:type="paragraph" w:styleId="Title">
    <w:name w:val="Title"/>
    <w:basedOn w:val="Normal"/>
    <w:next w:val="Normal"/>
    <w:link w:val="TitleChar"/>
    <w:uiPriority w:val="10"/>
    <w:qFormat/>
    <w:rsid w:val="000151CE"/>
    <w:pPr>
      <w:jc w:val="center"/>
    </w:pPr>
    <w:rPr>
      <w:b/>
      <w:bCs/>
    </w:rPr>
  </w:style>
  <w:style w:type="character" w:customStyle="1" w:styleId="TitleChar">
    <w:name w:val="Title Char"/>
    <w:basedOn w:val="DefaultParagraphFont"/>
    <w:link w:val="Title"/>
    <w:uiPriority w:val="10"/>
    <w:rsid w:val="000151CE"/>
    <w:rPr>
      <w:b/>
      <w:bCs/>
    </w:rPr>
  </w:style>
  <w:style w:type="paragraph" w:styleId="Header">
    <w:name w:val="header"/>
    <w:basedOn w:val="Normal"/>
    <w:link w:val="HeaderChar"/>
    <w:uiPriority w:val="99"/>
    <w:unhideWhenUsed/>
    <w:rsid w:val="00FF00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0070"/>
  </w:style>
  <w:style w:type="paragraph" w:styleId="Footer">
    <w:name w:val="footer"/>
    <w:basedOn w:val="Normal"/>
    <w:link w:val="FooterChar"/>
    <w:uiPriority w:val="99"/>
    <w:unhideWhenUsed/>
    <w:rsid w:val="00FF00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0070"/>
  </w:style>
  <w:style w:type="character" w:styleId="CommentReference">
    <w:name w:val="annotation reference"/>
    <w:basedOn w:val="DefaultParagraphFont"/>
    <w:uiPriority w:val="99"/>
    <w:semiHidden/>
    <w:unhideWhenUsed/>
    <w:rsid w:val="00D01C3D"/>
    <w:rPr>
      <w:sz w:val="16"/>
      <w:szCs w:val="16"/>
    </w:rPr>
  </w:style>
  <w:style w:type="paragraph" w:styleId="CommentText">
    <w:name w:val="annotation text"/>
    <w:basedOn w:val="Normal"/>
    <w:link w:val="CommentTextChar"/>
    <w:uiPriority w:val="99"/>
    <w:unhideWhenUsed/>
    <w:rsid w:val="00D01C3D"/>
    <w:pPr>
      <w:spacing w:line="240" w:lineRule="auto"/>
    </w:pPr>
    <w:rPr>
      <w:sz w:val="20"/>
      <w:szCs w:val="20"/>
    </w:rPr>
  </w:style>
  <w:style w:type="character" w:customStyle="1" w:styleId="CommentTextChar">
    <w:name w:val="Comment Text Char"/>
    <w:basedOn w:val="DefaultParagraphFont"/>
    <w:link w:val="CommentText"/>
    <w:uiPriority w:val="99"/>
    <w:rsid w:val="00D01C3D"/>
    <w:rPr>
      <w:sz w:val="20"/>
      <w:szCs w:val="20"/>
    </w:rPr>
  </w:style>
  <w:style w:type="paragraph" w:styleId="CommentSubject">
    <w:name w:val="annotation subject"/>
    <w:basedOn w:val="CommentText"/>
    <w:next w:val="CommentText"/>
    <w:link w:val="CommentSubjectChar"/>
    <w:uiPriority w:val="99"/>
    <w:semiHidden/>
    <w:unhideWhenUsed/>
    <w:rsid w:val="00D01C3D"/>
    <w:rPr>
      <w:b/>
      <w:bCs/>
    </w:rPr>
  </w:style>
  <w:style w:type="character" w:customStyle="1" w:styleId="CommentSubjectChar">
    <w:name w:val="Comment Subject Char"/>
    <w:basedOn w:val="CommentTextChar"/>
    <w:link w:val="CommentSubject"/>
    <w:uiPriority w:val="99"/>
    <w:semiHidden/>
    <w:rsid w:val="00D01C3D"/>
    <w:rPr>
      <w:b/>
      <w:bCs/>
      <w:sz w:val="20"/>
      <w:szCs w:val="20"/>
    </w:rPr>
  </w:style>
  <w:style w:type="paragraph" w:styleId="Revision">
    <w:name w:val="Revision"/>
    <w:hidden/>
    <w:uiPriority w:val="99"/>
    <w:semiHidden/>
    <w:rsid w:val="00BF5FA3"/>
    <w:pPr>
      <w:spacing w:after="0" w:line="240" w:lineRule="auto"/>
    </w:pPr>
  </w:style>
  <w:style w:type="paragraph" w:styleId="Quote">
    <w:name w:val="Quote"/>
    <w:basedOn w:val="Normal"/>
    <w:next w:val="Normal"/>
    <w:link w:val="QuoteChar"/>
    <w:uiPriority w:val="29"/>
    <w:qFormat/>
    <w:rsid w:val="005056AC"/>
    <w:pPr>
      <w:spacing w:before="0" w:after="0"/>
      <w:ind w:left="720" w:right="862"/>
    </w:pPr>
    <w:rPr>
      <w:i/>
      <w:iCs/>
      <w:color w:val="404040" w:themeColor="text1" w:themeTint="BF"/>
    </w:rPr>
  </w:style>
  <w:style w:type="character" w:customStyle="1" w:styleId="QuoteChar">
    <w:name w:val="Quote Char"/>
    <w:basedOn w:val="DefaultParagraphFont"/>
    <w:link w:val="Quote"/>
    <w:uiPriority w:val="29"/>
    <w:rsid w:val="005056AC"/>
    <w:rPr>
      <w:i/>
      <w:iCs/>
      <w:color w:val="404040" w:themeColor="text1" w:themeTint="BF"/>
    </w:rPr>
  </w:style>
  <w:style w:type="character" w:styleId="Emphasis">
    <w:name w:val="Emphasis"/>
    <w:basedOn w:val="DefaultParagraphFont"/>
    <w:uiPriority w:val="20"/>
    <w:qFormat/>
    <w:rsid w:val="00504F6F"/>
    <w:rPr>
      <w:i/>
      <w:iCs/>
    </w:rPr>
  </w:style>
  <w:style w:type="paragraph" w:customStyle="1" w:styleId="Normal0">
    <w:name w:val="[Normal]"/>
    <w:uiPriority w:val="99"/>
    <w:rsid w:val="00BA71A0"/>
    <w:pPr>
      <w:widowControl w:val="0"/>
      <w:autoSpaceDE w:val="0"/>
      <w:autoSpaceDN w:val="0"/>
      <w:adjustRightInd w:val="0"/>
      <w:spacing w:after="0" w:line="240" w:lineRule="auto"/>
    </w:pPr>
    <w:rPr>
      <w:rFonts w:ascii="Arial" w:hAnsi="Arial" w:cs="Arial"/>
      <w:sz w:val="24"/>
      <w:szCs w:val="24"/>
    </w:rPr>
  </w:style>
  <w:style w:type="paragraph" w:styleId="Bibliography">
    <w:name w:val="Bibliography"/>
    <w:basedOn w:val="Normal"/>
    <w:next w:val="Normal"/>
    <w:uiPriority w:val="37"/>
    <w:unhideWhenUsed/>
    <w:rsid w:val="002B03FD"/>
    <w:pPr>
      <w:spacing w:after="0" w:line="480" w:lineRule="auto"/>
      <w:ind w:left="720" w:hanging="720"/>
    </w:pPr>
  </w:style>
  <w:style w:type="paragraph" w:styleId="TOCHeading">
    <w:name w:val="TOC Heading"/>
    <w:basedOn w:val="Heading1"/>
    <w:next w:val="Normal"/>
    <w:uiPriority w:val="39"/>
    <w:unhideWhenUsed/>
    <w:qFormat/>
    <w:rsid w:val="00B374E6"/>
    <w:pPr>
      <w:numPr>
        <w:numId w:val="0"/>
      </w:numPr>
      <w:spacing w:before="240" w:after="0"/>
      <w:contextualSpacing w:val="0"/>
      <w:jc w:val="left"/>
      <w:outlineLvl w:val="9"/>
    </w:pPr>
    <w:rPr>
      <w:rFonts w:asciiTheme="majorHAnsi" w:eastAsiaTheme="majorEastAsia" w:hAnsiTheme="majorHAnsi" w:cstheme="majorBidi"/>
      <w:b w:val="0"/>
      <w:bCs w:val="0"/>
      <w:color w:val="2F5496" w:themeColor="accent1" w:themeShade="BF"/>
      <w:sz w:val="32"/>
      <w:szCs w:val="32"/>
      <w:lang w:eastAsia="fr-CA"/>
    </w:rPr>
  </w:style>
  <w:style w:type="paragraph" w:styleId="TOC1">
    <w:name w:val="toc 1"/>
    <w:basedOn w:val="Normal"/>
    <w:next w:val="Normal"/>
    <w:autoRedefine/>
    <w:uiPriority w:val="39"/>
    <w:unhideWhenUsed/>
    <w:rsid w:val="00B374E6"/>
    <w:pPr>
      <w:spacing w:after="100"/>
    </w:pPr>
  </w:style>
  <w:style w:type="paragraph" w:styleId="TOC2">
    <w:name w:val="toc 2"/>
    <w:basedOn w:val="Normal"/>
    <w:next w:val="Normal"/>
    <w:autoRedefine/>
    <w:uiPriority w:val="39"/>
    <w:unhideWhenUsed/>
    <w:rsid w:val="00B374E6"/>
    <w:pPr>
      <w:spacing w:after="100"/>
      <w:ind w:left="220"/>
    </w:pPr>
  </w:style>
  <w:style w:type="paragraph" w:styleId="TOC3">
    <w:name w:val="toc 3"/>
    <w:basedOn w:val="Normal"/>
    <w:next w:val="Normal"/>
    <w:autoRedefine/>
    <w:uiPriority w:val="39"/>
    <w:unhideWhenUsed/>
    <w:rsid w:val="00B374E6"/>
    <w:pPr>
      <w:spacing w:after="100"/>
      <w:ind w:left="440"/>
    </w:pPr>
  </w:style>
  <w:style w:type="character" w:styleId="Hyperlink">
    <w:name w:val="Hyperlink"/>
    <w:basedOn w:val="DefaultParagraphFont"/>
    <w:uiPriority w:val="99"/>
    <w:unhideWhenUsed/>
    <w:rsid w:val="00B374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2174">
      <w:bodyDiv w:val="1"/>
      <w:marLeft w:val="0"/>
      <w:marRight w:val="0"/>
      <w:marTop w:val="0"/>
      <w:marBottom w:val="0"/>
      <w:divBdr>
        <w:top w:val="none" w:sz="0" w:space="0" w:color="auto"/>
        <w:left w:val="none" w:sz="0" w:space="0" w:color="auto"/>
        <w:bottom w:val="none" w:sz="0" w:space="0" w:color="auto"/>
        <w:right w:val="none" w:sz="0" w:space="0" w:color="auto"/>
      </w:divBdr>
    </w:div>
    <w:div w:id="1482887617">
      <w:bodyDiv w:val="1"/>
      <w:marLeft w:val="0"/>
      <w:marRight w:val="0"/>
      <w:marTop w:val="0"/>
      <w:marBottom w:val="0"/>
      <w:divBdr>
        <w:top w:val="none" w:sz="0" w:space="0" w:color="auto"/>
        <w:left w:val="none" w:sz="0" w:space="0" w:color="auto"/>
        <w:bottom w:val="none" w:sz="0" w:space="0" w:color="auto"/>
        <w:right w:val="none" w:sz="0" w:space="0" w:color="auto"/>
      </w:divBdr>
    </w:div>
    <w:div w:id="194245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36EA8908E9064FADA3B03771A760FF" ma:contentTypeVersion="20" ma:contentTypeDescription="Crée un document." ma:contentTypeScope="" ma:versionID="d9c883b7da37973dcbe47fe46e3170c9">
  <xsd:schema xmlns:xsd="http://www.w3.org/2001/XMLSchema" xmlns:xs="http://www.w3.org/2001/XMLSchema" xmlns:p="http://schemas.microsoft.com/office/2006/metadata/properties" xmlns:ns1="http://schemas.microsoft.com/sharepoint/v3" xmlns:ns2="686ff991-341e-4a42-8450-c9f755263d40" xmlns:ns3="bfa723f6-532a-48e3-bced-dc913a5f02e0" targetNamespace="http://schemas.microsoft.com/office/2006/metadata/properties" ma:root="true" ma:fieldsID="bbfc7fa0d8ac2b4fe271994c162ddbff" ns1:_="" ns2:_="" ns3:_="">
    <xsd:import namespace="http://schemas.microsoft.com/sharepoint/v3"/>
    <xsd:import namespace="686ff991-341e-4a42-8450-c9f755263d40"/>
    <xsd:import namespace="bfa723f6-532a-48e3-bced-dc913a5f02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Com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ff991-341e-4a42-8450-c9f755263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5f36f5b6-25c8-44c5-8248-31c62e9a45cb" ma:termSetId="09814cd3-568e-fe90-9814-8d621ff8fb84" ma:anchorId="fba54fb3-c3e1-fe81-a776-ca4b69148c4d" ma:open="true" ma:isKeyword="false">
      <xsd:complexType>
        <xsd:sequence>
          <xsd:element ref="pc:Terms" minOccurs="0" maxOccurs="1"/>
        </xsd:sequence>
      </xsd:complexType>
    </xsd:element>
    <xsd:element name="Commentaire" ma:index="26" nillable="true" ma:displayName="Commentaire" ma:format="Dropdown" ma:internalName="Commentair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723f6-532a-48e3-bced-dc913a5f02e0"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f03706f9-d63a-4ded-8b41-5dc6de26b340}" ma:internalName="TaxCatchAll" ma:showField="CatchAllData" ma:web="bfa723f6-532a-48e3-bced-dc913a5f02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6B665-5EC1-46AD-9EB8-B3FB8CB5766F}">
  <ds:schemaRefs>
    <ds:schemaRef ds:uri="http://schemas.openxmlformats.org/officeDocument/2006/bibliography"/>
  </ds:schemaRefs>
</ds:datastoreItem>
</file>

<file path=customXml/itemProps2.xml><?xml version="1.0" encoding="utf-8"?>
<ds:datastoreItem xmlns:ds="http://schemas.openxmlformats.org/officeDocument/2006/customXml" ds:itemID="{353C7827-2939-4F72-BAF0-E0DC4322A877}"/>
</file>

<file path=customXml/itemProps3.xml><?xml version="1.0" encoding="utf-8"?>
<ds:datastoreItem xmlns:ds="http://schemas.openxmlformats.org/officeDocument/2006/customXml" ds:itemID="{A02993E4-8043-42F1-965B-0792F74503EA}"/>
</file>

<file path=docProps/app.xml><?xml version="1.0" encoding="utf-8"?>
<Properties xmlns="http://schemas.openxmlformats.org/officeDocument/2006/extended-properties" xmlns:vt="http://schemas.openxmlformats.org/officeDocument/2006/docPropsVTypes">
  <Template>Normal.dotm</Template>
  <TotalTime>4140</TotalTime>
  <Pages>1</Pages>
  <Words>16855</Words>
  <Characters>96079</Characters>
  <Application>Microsoft Office Word</Application>
  <DocSecurity>4</DocSecurity>
  <Lines>800</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Cousin</dc:creator>
  <cp:keywords/>
  <dc:description/>
  <cp:lastModifiedBy>Louis Cousin</cp:lastModifiedBy>
  <cp:revision>1319</cp:revision>
  <dcterms:created xsi:type="dcterms:W3CDTF">2022-09-10T06:01:00Z</dcterms:created>
  <dcterms:modified xsi:type="dcterms:W3CDTF">2023-04-28T16:53:00Z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zotero-version="6.0.14"&gt;&lt;session id="OIkrHzBH"/&gt;&lt;style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